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48331" w14:textId="5912B6FF" w:rsidR="00E737E6" w:rsidRPr="00646DB0" w:rsidRDefault="00E737E6" w:rsidP="00E737E6">
      <w:pPr>
        <w:pBdr>
          <w:top w:val="single" w:sz="4" w:space="1" w:color="auto"/>
          <w:left w:val="single" w:sz="4" w:space="4" w:color="auto"/>
          <w:bottom w:val="single" w:sz="4" w:space="1" w:color="auto"/>
          <w:right w:val="single" w:sz="4" w:space="4" w:color="auto"/>
        </w:pBdr>
        <w:shd w:val="clear" w:color="auto" w:fill="B4C6E7" w:themeFill="accent1" w:themeFillTint="66"/>
        <w:spacing w:before="0" w:after="160" w:line="259" w:lineRule="auto"/>
        <w:rPr>
          <w:rFonts w:ascii="Arial" w:eastAsia="Arial" w:hAnsi="Arial" w:cs="Arial"/>
          <w:b/>
          <w:kern w:val="2"/>
          <w:sz w:val="30"/>
          <w:szCs w:val="24"/>
          <w:lang w:eastAsia="en-US"/>
          <w14:ligatures w14:val="standardContextual"/>
        </w:rPr>
      </w:pPr>
      <w:r w:rsidRPr="00E737E6">
        <w:rPr>
          <w:rFonts w:asciiTheme="minorHAnsi" w:eastAsiaTheme="minorHAnsi" w:hAnsiTheme="minorHAnsi" w:cstheme="minorBidi"/>
          <w:noProof/>
          <w:kern w:val="2"/>
          <w:sz w:val="22"/>
          <w:szCs w:val="22"/>
          <w:lang w:eastAsia="en-US"/>
          <w14:ligatures w14:val="standardContextual"/>
        </w:rPr>
        <w:drawing>
          <wp:anchor distT="0" distB="0" distL="114300" distR="114300" simplePos="0" relativeHeight="251660288" behindDoc="0" locked="0" layoutInCell="1" allowOverlap="1" wp14:anchorId="4C0EA3C1" wp14:editId="7CB2B4CE">
            <wp:simplePos x="0" y="0"/>
            <wp:positionH relativeFrom="margin">
              <wp:align>left</wp:align>
            </wp:positionH>
            <wp:positionV relativeFrom="paragraph">
              <wp:posOffset>416560</wp:posOffset>
            </wp:positionV>
            <wp:extent cx="3232150" cy="2265680"/>
            <wp:effectExtent l="0" t="0" r="635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70723" cy="2293112"/>
                    </a:xfrm>
                    <a:prstGeom prst="rect">
                      <a:avLst/>
                    </a:prstGeom>
                    <a:noFill/>
                  </pic:spPr>
                </pic:pic>
              </a:graphicData>
            </a:graphic>
            <wp14:sizeRelH relativeFrom="margin">
              <wp14:pctWidth>0</wp14:pctWidth>
            </wp14:sizeRelH>
            <wp14:sizeRelV relativeFrom="margin">
              <wp14:pctHeight>0</wp14:pctHeight>
            </wp14:sizeRelV>
          </wp:anchor>
        </w:drawing>
      </w:r>
      <w:r w:rsidRPr="00E737E6">
        <w:rPr>
          <w:rFonts w:ascii="Arial" w:eastAsia="Arial" w:hAnsi="Arial" w:cs="Arial"/>
          <w:b/>
          <w:kern w:val="2"/>
          <w:sz w:val="40"/>
          <w:szCs w:val="40"/>
          <w:lang w:eastAsia="en-US"/>
          <w14:ligatures w14:val="standardContextual"/>
        </w:rPr>
        <w:t xml:space="preserve">Draft High Level Housing </w:t>
      </w:r>
      <w:r w:rsidRPr="00E737E6">
        <w:rPr>
          <w:rFonts w:ascii="Arial" w:eastAsia="Arial" w:hAnsi="Arial" w:cs="Arial"/>
          <w:b/>
          <w:color w:val="000000" w:themeColor="text1"/>
          <w:kern w:val="2"/>
          <w:sz w:val="40"/>
          <w:szCs w:val="40"/>
          <w:lang w:eastAsia="en-US"/>
          <w14:ligatures w14:val="standardContextual"/>
        </w:rPr>
        <w:t xml:space="preserve">Action </w:t>
      </w:r>
      <w:r w:rsidRPr="00E737E6">
        <w:rPr>
          <w:rFonts w:ascii="Arial" w:eastAsia="Arial" w:hAnsi="Arial" w:cs="Arial"/>
          <w:b/>
          <w:kern w:val="2"/>
          <w:sz w:val="40"/>
          <w:szCs w:val="40"/>
          <w:lang w:eastAsia="en-US"/>
          <w14:ligatures w14:val="standardContextual"/>
        </w:rPr>
        <w:t>Emergency Plan</w:t>
      </w:r>
      <w:r w:rsidRPr="00E737E6">
        <w:rPr>
          <w:rFonts w:ascii="Arial" w:eastAsia="Arial" w:hAnsi="Arial" w:cs="Arial"/>
          <w:b/>
          <w:kern w:val="2"/>
          <w:sz w:val="40"/>
          <w:szCs w:val="40"/>
          <w:lang w:eastAsia="en-US"/>
          <w14:ligatures w14:val="standardContextual"/>
        </w:rPr>
        <w:tab/>
      </w:r>
      <w:r w:rsidRPr="00E737E6">
        <w:rPr>
          <w:rFonts w:ascii="Arial" w:eastAsia="Arial" w:hAnsi="Arial" w:cs="Arial"/>
          <w:b/>
          <w:kern w:val="2"/>
          <w:sz w:val="40"/>
          <w:szCs w:val="40"/>
          <w:lang w:eastAsia="en-US"/>
          <w14:ligatures w14:val="standardContextual"/>
        </w:rPr>
        <w:tab/>
      </w:r>
      <w:r w:rsidRPr="00E737E6">
        <w:rPr>
          <w:rFonts w:ascii="Arial" w:eastAsia="Arial" w:hAnsi="Arial" w:cs="Arial"/>
          <w:b/>
          <w:kern w:val="2"/>
          <w:sz w:val="40"/>
          <w:szCs w:val="40"/>
          <w:lang w:eastAsia="en-US"/>
          <w14:ligatures w14:val="standardContextual"/>
        </w:rPr>
        <w:tab/>
      </w:r>
      <w:r w:rsidRPr="00E737E6">
        <w:rPr>
          <w:rFonts w:ascii="Arial" w:eastAsia="Arial" w:hAnsi="Arial" w:cs="Arial"/>
          <w:b/>
          <w:kern w:val="2"/>
          <w:sz w:val="40"/>
          <w:szCs w:val="40"/>
          <w:lang w:eastAsia="en-US"/>
          <w14:ligatures w14:val="standardContextual"/>
        </w:rPr>
        <w:tab/>
      </w:r>
      <w:r w:rsidRPr="00E737E6">
        <w:rPr>
          <w:rFonts w:ascii="Arial" w:eastAsia="Arial" w:hAnsi="Arial" w:cs="Arial"/>
          <w:b/>
          <w:kern w:val="2"/>
          <w:sz w:val="40"/>
          <w:szCs w:val="40"/>
          <w:lang w:eastAsia="en-US"/>
          <w14:ligatures w14:val="standardContextual"/>
        </w:rPr>
        <w:tab/>
      </w:r>
      <w:r w:rsidR="00646DB0">
        <w:rPr>
          <w:rFonts w:ascii="Arial" w:eastAsia="Arial" w:hAnsi="Arial" w:cs="Arial"/>
          <w:b/>
          <w:kern w:val="2"/>
          <w:sz w:val="40"/>
          <w:szCs w:val="40"/>
          <w:lang w:eastAsia="en-US"/>
          <w14:ligatures w14:val="standardContextual"/>
        </w:rPr>
        <w:t xml:space="preserve"> </w:t>
      </w:r>
      <w:r w:rsidR="00646DB0">
        <w:rPr>
          <w:rFonts w:ascii="Arial" w:eastAsia="Arial" w:hAnsi="Arial" w:cs="Arial"/>
          <w:b/>
          <w:kern w:val="2"/>
          <w:sz w:val="40"/>
          <w:szCs w:val="40"/>
          <w:lang w:eastAsia="en-US"/>
          <w14:ligatures w14:val="standardContextual"/>
        </w:rPr>
        <w:tab/>
      </w:r>
      <w:r w:rsidRPr="00646DB0">
        <w:rPr>
          <w:rFonts w:ascii="Arial" w:eastAsia="Arial" w:hAnsi="Arial" w:cs="Arial"/>
          <w:b/>
          <w:kern w:val="2"/>
          <w:sz w:val="30"/>
          <w:szCs w:val="24"/>
          <w:lang w:eastAsia="en-US"/>
          <w14:ligatures w14:val="standardContextual"/>
        </w:rPr>
        <w:t>Appendix 1</w:t>
      </w:r>
    </w:p>
    <w:p w14:paraId="4379B6CF" w14:textId="77777777" w:rsidR="00E737E6" w:rsidRPr="00E737E6" w:rsidRDefault="00E737E6" w:rsidP="00E737E6">
      <w:pPr>
        <w:spacing w:before="0" w:after="160" w:line="259" w:lineRule="auto"/>
        <w:rPr>
          <w:rFonts w:asciiTheme="minorHAnsi" w:eastAsiaTheme="minorHAnsi" w:hAnsiTheme="minorHAnsi" w:cstheme="minorBidi"/>
          <w:kern w:val="2"/>
          <w:sz w:val="22"/>
          <w:szCs w:val="22"/>
          <w:lang w:eastAsia="en-US"/>
          <w14:ligatures w14:val="standardContextual"/>
        </w:rPr>
      </w:pPr>
      <w:r w:rsidRPr="00E737E6">
        <w:rPr>
          <w:rFonts w:asciiTheme="minorHAnsi" w:eastAsiaTheme="minorHAnsi" w:hAnsiTheme="minorHAnsi" w:cstheme="minorBidi"/>
          <w:kern w:val="2"/>
          <w:sz w:val="22"/>
          <w:szCs w:val="22"/>
          <w:lang w:eastAsia="en-US"/>
          <w14:ligatures w14:val="standardContextual"/>
        </w:rPr>
        <w:t xml:space="preserve">The priority of Fife’s Housing Emergency Plan is to ensure we meet homelessness statutory duties and legal responsibilities to tenants and other housing customers. If we are unable to provide temporary accommodation to households in need, we are breaching statutory duty and Unsuitable Accommodation Order if stays in Bed and Breakfast, hotel type accommodation are over 7 days.  As a result, the Themes within the conceptual Housing Emergency </w:t>
      </w:r>
      <w:r w:rsidRPr="00E737E6">
        <w:rPr>
          <w:rFonts w:asciiTheme="minorHAnsi" w:eastAsiaTheme="minorHAnsi" w:hAnsiTheme="minorHAnsi" w:cstheme="minorBidi"/>
          <w:color w:val="000000" w:themeColor="text1"/>
          <w:kern w:val="2"/>
          <w:sz w:val="22"/>
          <w:szCs w:val="22"/>
          <w:lang w:eastAsia="en-US"/>
          <w14:ligatures w14:val="standardContextual"/>
        </w:rPr>
        <w:t>Action Plan contain actions to improve our ability to provide temporary accommodation and ensure stays in B&amp;B/hotel type accommodation are 7 days or less.</w:t>
      </w:r>
    </w:p>
    <w:p w14:paraId="2F66EC08" w14:textId="77777777" w:rsidR="00E737E6" w:rsidRPr="00E737E6" w:rsidRDefault="00E737E6" w:rsidP="00E737E6">
      <w:pPr>
        <w:spacing w:before="0" w:after="0" w:line="259" w:lineRule="auto"/>
        <w:jc w:val="center"/>
        <w:rPr>
          <w:rFonts w:asciiTheme="minorHAnsi" w:eastAsiaTheme="minorHAnsi" w:hAnsiTheme="minorHAnsi" w:cstheme="minorBidi"/>
          <w:b/>
          <w:color w:val="000000" w:themeColor="text1"/>
          <w:kern w:val="2"/>
          <w:sz w:val="22"/>
          <w:szCs w:val="22"/>
          <w:lang w:eastAsia="en-US"/>
          <w14:ligatures w14:val="standardContextual"/>
        </w:rPr>
      </w:pPr>
      <w:r w:rsidRPr="00E737E6">
        <w:rPr>
          <w:rFonts w:asciiTheme="minorHAnsi" w:eastAsiaTheme="minorHAnsi" w:hAnsiTheme="minorHAnsi" w:cstheme="minorBidi"/>
          <w:b/>
          <w:color w:val="000000" w:themeColor="text1"/>
          <w:kern w:val="2"/>
          <w:sz w:val="22"/>
          <w:szCs w:val="22"/>
          <w:lang w:eastAsia="en-US"/>
          <w14:ligatures w14:val="standardContextual"/>
        </w:rPr>
        <w:t xml:space="preserve">THEME 1: </w:t>
      </w:r>
      <w:r w:rsidRPr="00E737E6">
        <w:rPr>
          <w:rFonts w:asciiTheme="minorHAnsi" w:eastAsiaTheme="minorHAnsi" w:hAnsiTheme="minorHAnsi" w:cstheme="minorBidi"/>
          <w:b/>
          <w:bCs/>
          <w:kern w:val="2"/>
          <w:sz w:val="22"/>
          <w:szCs w:val="22"/>
          <w:lang w:eastAsia="en-US"/>
          <w14:ligatures w14:val="standardContextual"/>
        </w:rPr>
        <w:t>Maintaining</w:t>
      </w:r>
      <w:r w:rsidRPr="00E737E6">
        <w:rPr>
          <w:rFonts w:asciiTheme="minorHAnsi" w:eastAsiaTheme="minorHAnsi" w:hAnsiTheme="minorHAnsi" w:cstheme="minorBidi"/>
          <w:b/>
          <w:kern w:val="2"/>
          <w:sz w:val="22"/>
          <w:szCs w:val="22"/>
          <w:lang w:eastAsia="en-US"/>
          <w14:ligatures w14:val="standardContextual"/>
        </w:rPr>
        <w:t xml:space="preserve"> </w:t>
      </w:r>
      <w:r w:rsidRPr="00E737E6">
        <w:rPr>
          <w:rFonts w:asciiTheme="minorHAnsi" w:eastAsiaTheme="minorHAnsi" w:hAnsiTheme="minorHAnsi" w:cstheme="minorBidi"/>
          <w:b/>
          <w:color w:val="000000" w:themeColor="text1"/>
          <w:kern w:val="2"/>
          <w:sz w:val="22"/>
          <w:szCs w:val="22"/>
          <w:lang w:eastAsia="en-US"/>
          <w14:ligatures w14:val="standardContextual"/>
        </w:rPr>
        <w:t>affordable housing supply</w:t>
      </w:r>
    </w:p>
    <w:p w14:paraId="1A79B7AA" w14:textId="77777777" w:rsidR="00E737E6" w:rsidRPr="00E737E6" w:rsidRDefault="00E737E6" w:rsidP="00E737E6">
      <w:pPr>
        <w:spacing w:before="0" w:after="0" w:line="259" w:lineRule="auto"/>
        <w:jc w:val="center"/>
        <w:rPr>
          <w:rFonts w:asciiTheme="minorHAnsi" w:eastAsiaTheme="minorHAnsi" w:hAnsiTheme="minorHAnsi" w:cstheme="minorBidi"/>
          <w:b/>
          <w:color w:val="000000" w:themeColor="text1"/>
          <w:kern w:val="2"/>
          <w:sz w:val="22"/>
          <w:szCs w:val="22"/>
          <w:lang w:eastAsia="en-US"/>
          <w14:ligatures w14:val="standardContextual"/>
        </w:rPr>
      </w:pPr>
      <w:r w:rsidRPr="00E737E6">
        <w:rPr>
          <w:rFonts w:asciiTheme="minorHAnsi" w:eastAsiaTheme="minorHAnsi" w:hAnsiTheme="minorHAnsi" w:cstheme="minorBidi"/>
          <w:b/>
          <w:color w:val="000000" w:themeColor="text1"/>
          <w:kern w:val="2"/>
          <w:sz w:val="22"/>
          <w:szCs w:val="22"/>
          <w:lang w:eastAsia="en-US"/>
          <w14:ligatures w14:val="standardContextual"/>
        </w:rPr>
        <w:t>THEME 2: Making best use of existing properties</w:t>
      </w:r>
    </w:p>
    <w:p w14:paraId="4A87B68B" w14:textId="77777777" w:rsidR="00E737E6" w:rsidRPr="00E737E6" w:rsidRDefault="00E737E6" w:rsidP="00E737E6">
      <w:pPr>
        <w:spacing w:before="0" w:after="0" w:line="259" w:lineRule="auto"/>
        <w:jc w:val="center"/>
        <w:rPr>
          <w:rFonts w:asciiTheme="minorHAnsi" w:eastAsiaTheme="minorHAnsi" w:hAnsiTheme="minorHAnsi" w:cstheme="minorBidi"/>
          <w:b/>
          <w:bCs/>
          <w:kern w:val="2"/>
          <w:sz w:val="22"/>
          <w:szCs w:val="22"/>
          <w:lang w:eastAsia="en-US"/>
          <w14:ligatures w14:val="standardContextual"/>
        </w:rPr>
      </w:pPr>
      <w:r w:rsidRPr="00E737E6">
        <w:rPr>
          <w:rFonts w:asciiTheme="minorHAnsi" w:eastAsiaTheme="minorHAnsi" w:hAnsiTheme="minorHAnsi" w:cstheme="minorBidi"/>
          <w:b/>
          <w:bCs/>
          <w:kern w:val="2"/>
          <w:sz w:val="22"/>
          <w:szCs w:val="22"/>
          <w:lang w:eastAsia="en-US"/>
          <w14:ligatures w14:val="standardContextual"/>
        </w:rPr>
        <w:t>THEME 3: Enhancing housing access and prevention of homelessness</w:t>
      </w:r>
    </w:p>
    <w:p w14:paraId="5372DEC4" w14:textId="77777777" w:rsidR="00E737E6" w:rsidRPr="00E737E6" w:rsidRDefault="00E737E6" w:rsidP="00E737E6">
      <w:pPr>
        <w:spacing w:before="0" w:after="0" w:line="259" w:lineRule="auto"/>
        <w:jc w:val="center"/>
        <w:rPr>
          <w:rFonts w:asciiTheme="minorHAnsi" w:eastAsiaTheme="minorHAnsi" w:hAnsiTheme="minorHAnsi" w:cstheme="minorBidi"/>
          <w:b/>
          <w:bCs/>
          <w:kern w:val="2"/>
          <w:sz w:val="22"/>
          <w:szCs w:val="22"/>
          <w:lang w:eastAsia="en-US"/>
          <w14:ligatures w14:val="standardContextual"/>
        </w:rPr>
      </w:pPr>
    </w:p>
    <w:p w14:paraId="78D8F119" w14:textId="77777777" w:rsidR="00E737E6" w:rsidRPr="00E737E6" w:rsidRDefault="00E737E6" w:rsidP="00E737E6">
      <w:pPr>
        <w:spacing w:before="0" w:after="160" w:line="259" w:lineRule="auto"/>
        <w:rPr>
          <w:rFonts w:asciiTheme="minorHAnsi" w:eastAsiaTheme="minorHAnsi" w:hAnsiTheme="minorHAnsi" w:cstheme="minorBidi"/>
          <w:kern w:val="2"/>
          <w:sz w:val="22"/>
          <w:szCs w:val="22"/>
          <w:lang w:eastAsia="en-US"/>
          <w14:ligatures w14:val="standardContextual"/>
        </w:rPr>
      </w:pPr>
      <w:r w:rsidRPr="00E737E6">
        <w:rPr>
          <w:rFonts w:asciiTheme="minorHAnsi" w:eastAsiaTheme="minorHAnsi" w:hAnsiTheme="minorHAnsi" w:cstheme="minorBidi"/>
          <w:kern w:val="2"/>
          <w:sz w:val="22"/>
          <w:szCs w:val="22"/>
          <w:lang w:eastAsia="en-US"/>
          <w14:ligatures w14:val="standardContextual"/>
        </w:rPr>
        <w:t>The HEAP builds on what we are doing already, through various strategies and policies, aiming to accelerate or boost actions to mitigate the Housing Emergency.  The tables give a high-level ambition of a Fife HEAP, however each area needs to be considered in detail, to be fully costed and identify the resources required. This will prioritise the immediate actio</w:t>
      </w:r>
      <w:r w:rsidRPr="00E737E6">
        <w:rPr>
          <w:rFonts w:asciiTheme="minorHAnsi" w:eastAsiaTheme="minorHAnsi" w:hAnsiTheme="minorHAnsi" w:cstheme="minorBidi"/>
          <w:color w:val="000000" w:themeColor="text1"/>
          <w:kern w:val="2"/>
          <w:sz w:val="22"/>
          <w:szCs w:val="22"/>
          <w:lang w:eastAsia="en-US"/>
          <w14:ligatures w14:val="standardContextual"/>
        </w:rPr>
        <w:t>ns, plan and resource for</w:t>
      </w:r>
      <w:r w:rsidRPr="00E737E6">
        <w:rPr>
          <w:rFonts w:asciiTheme="minorHAnsi" w:eastAsiaTheme="minorHAnsi" w:hAnsiTheme="minorHAnsi" w:cstheme="minorBidi"/>
          <w:kern w:val="2"/>
          <w:sz w:val="22"/>
          <w:szCs w:val="22"/>
          <w:lang w:eastAsia="en-US"/>
          <w14:ligatures w14:val="standardContextual"/>
        </w:rPr>
        <w:t xml:space="preserve"> medium actions and record what we need to achieve longer term.  Currently there is no additional funding from Scottish or UK Government’s to support the Housing Emergency. As part of the Housing Emergency Action Plan current budgets will be reviewed, and ways to maximise any funding sources will be examined.</w:t>
      </w:r>
    </w:p>
    <w:p w14:paraId="35A63B80" w14:textId="59AA9B44" w:rsidR="00E737E6" w:rsidRPr="00E737E6" w:rsidRDefault="00E737E6" w:rsidP="00E737E6">
      <w:pPr>
        <w:spacing w:before="0" w:after="160" w:line="259" w:lineRule="auto"/>
        <w:rPr>
          <w:rFonts w:asciiTheme="minorHAnsi" w:eastAsiaTheme="minorHAnsi" w:hAnsiTheme="minorHAnsi" w:cstheme="minorBidi"/>
          <w:kern w:val="2"/>
          <w:sz w:val="22"/>
          <w:szCs w:val="22"/>
          <w:lang w:eastAsia="en-US"/>
          <w14:ligatures w14:val="standardContextual"/>
        </w:rPr>
      </w:pPr>
      <w:r w:rsidRPr="00E737E6">
        <w:rPr>
          <w:rFonts w:asciiTheme="minorHAnsi" w:eastAsiaTheme="minorHAnsi" w:hAnsiTheme="minorHAnsi" w:cstheme="minorBidi"/>
          <w:noProof/>
          <w:kern w:val="2"/>
          <w:sz w:val="22"/>
          <w:szCs w:val="22"/>
          <w:lang w:eastAsia="en-US"/>
          <w14:ligatures w14:val="standardContextual"/>
        </w:rPr>
        <w:drawing>
          <wp:anchor distT="0" distB="0" distL="114300" distR="114300" simplePos="0" relativeHeight="251661312" behindDoc="1" locked="0" layoutInCell="1" allowOverlap="1" wp14:anchorId="4FA78BDB" wp14:editId="20CFE26F">
            <wp:simplePos x="0" y="0"/>
            <wp:positionH relativeFrom="column">
              <wp:posOffset>7485380</wp:posOffset>
            </wp:positionH>
            <wp:positionV relativeFrom="paragraph">
              <wp:posOffset>600075</wp:posOffset>
            </wp:positionV>
            <wp:extent cx="1258570" cy="1706880"/>
            <wp:effectExtent l="0" t="0" r="0" b="7620"/>
            <wp:wrapTight wrapText="bothSides">
              <wp:wrapPolygon edited="0">
                <wp:start x="0" y="0"/>
                <wp:lineTo x="0" y="21455"/>
                <wp:lineTo x="21251" y="21455"/>
                <wp:lineTo x="21251"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1258570" cy="1706880"/>
                    </a:xfrm>
                    <a:prstGeom prst="rect">
                      <a:avLst/>
                    </a:prstGeom>
                    <a:noFill/>
                  </pic:spPr>
                </pic:pic>
              </a:graphicData>
            </a:graphic>
          </wp:anchor>
        </w:drawing>
      </w:r>
      <w:r w:rsidRPr="00E737E6">
        <w:rPr>
          <w:rFonts w:asciiTheme="minorHAnsi" w:eastAsiaTheme="minorHAnsi" w:hAnsiTheme="minorHAnsi" w:cstheme="minorBidi"/>
          <w:kern w:val="2"/>
          <w:sz w:val="22"/>
          <w:szCs w:val="22"/>
          <w:lang w:eastAsia="en-US"/>
          <w14:ligatures w14:val="standardContextual"/>
        </w:rPr>
        <w:t>The document is an initial conceptual plan based on extensive feedback from across the Council and partners since the Emergency Declaration.  The Plan provides an initial baseline for further development over the summer, specifically the financial and resource aspects of the policy options.  The development of a more specific performance management framework with measurable indicators is also part of the ‘</w:t>
      </w:r>
      <w:proofErr w:type="spellStart"/>
      <w:r w:rsidRPr="00E737E6">
        <w:rPr>
          <w:rFonts w:asciiTheme="minorHAnsi" w:eastAsiaTheme="minorHAnsi" w:hAnsiTheme="minorHAnsi" w:cstheme="minorBidi"/>
          <w:kern w:val="2"/>
          <w:sz w:val="22"/>
          <w:szCs w:val="22"/>
          <w:lang w:eastAsia="en-US"/>
          <w14:ligatures w14:val="standardContextual"/>
        </w:rPr>
        <w:t>Routemap</w:t>
      </w:r>
      <w:proofErr w:type="spellEnd"/>
      <w:r w:rsidRPr="00E737E6">
        <w:rPr>
          <w:rFonts w:asciiTheme="minorHAnsi" w:eastAsiaTheme="minorHAnsi" w:hAnsiTheme="minorHAnsi" w:cstheme="minorBidi"/>
          <w:kern w:val="2"/>
          <w:sz w:val="22"/>
          <w:szCs w:val="22"/>
          <w:lang w:eastAsia="en-US"/>
          <w14:ligatures w14:val="standardContextual"/>
        </w:rPr>
        <w:t>’ to be reported back to Cabinet on a regular basis.</w:t>
      </w:r>
    </w:p>
    <w:tbl>
      <w:tblPr>
        <w:tblStyle w:val="TableGrid1"/>
        <w:tblpPr w:leftFromText="180" w:rightFromText="180" w:vertAnchor="text" w:tblpY="1"/>
        <w:tblOverlap w:val="never"/>
        <w:tblW w:w="0" w:type="auto"/>
        <w:tblLook w:val="04A0" w:firstRow="1" w:lastRow="0" w:firstColumn="1" w:lastColumn="0" w:noHBand="0" w:noVBand="1"/>
      </w:tblPr>
      <w:tblGrid>
        <w:gridCol w:w="1200"/>
        <w:gridCol w:w="10277"/>
      </w:tblGrid>
      <w:tr w:rsidR="00E737E6" w:rsidRPr="00E737E6" w14:paraId="11F9D2D9" w14:textId="77777777" w:rsidTr="00E737E6">
        <w:trPr>
          <w:trHeight w:val="556"/>
        </w:trPr>
        <w:tc>
          <w:tcPr>
            <w:tcW w:w="1200" w:type="dxa"/>
          </w:tcPr>
          <w:p w14:paraId="15958F8E" w14:textId="77777777" w:rsidR="00E737E6" w:rsidRPr="00E737E6" w:rsidRDefault="00E737E6" w:rsidP="00E737E6">
            <w:pPr>
              <w:spacing w:before="0" w:after="0"/>
              <w:rPr>
                <w:rFonts w:asciiTheme="minorHAnsi" w:hAnsiTheme="minorHAnsi"/>
                <w:sz w:val="22"/>
              </w:rPr>
            </w:pPr>
            <w:r w:rsidRPr="00E737E6">
              <w:rPr>
                <w:rFonts w:asciiTheme="minorHAnsi" w:hAnsiTheme="minorHAnsi"/>
                <w:sz w:val="22"/>
              </w:rPr>
              <w:t>April / May</w:t>
            </w:r>
          </w:p>
        </w:tc>
        <w:tc>
          <w:tcPr>
            <w:tcW w:w="10277" w:type="dxa"/>
          </w:tcPr>
          <w:p w14:paraId="25B0FD80" w14:textId="77777777" w:rsidR="00E737E6" w:rsidRPr="00E737E6" w:rsidRDefault="00E737E6" w:rsidP="00E737E6">
            <w:pPr>
              <w:spacing w:before="0" w:after="0"/>
              <w:rPr>
                <w:rFonts w:asciiTheme="minorHAnsi" w:hAnsiTheme="minorHAnsi"/>
                <w:sz w:val="22"/>
              </w:rPr>
            </w:pPr>
            <w:r w:rsidRPr="00E737E6">
              <w:rPr>
                <w:rFonts w:asciiTheme="minorHAnsi" w:hAnsiTheme="minorHAnsi"/>
                <w:sz w:val="22"/>
              </w:rPr>
              <w:t>Council Executive Team agreement of Governance Framework and engagement plan, Fife Partnership 21</w:t>
            </w:r>
            <w:r w:rsidRPr="00E737E6">
              <w:rPr>
                <w:rFonts w:asciiTheme="minorHAnsi" w:hAnsiTheme="minorHAnsi"/>
                <w:sz w:val="22"/>
                <w:vertAlign w:val="superscript"/>
              </w:rPr>
              <w:t>st</w:t>
            </w:r>
            <w:r w:rsidRPr="00E737E6">
              <w:rPr>
                <w:rFonts w:asciiTheme="minorHAnsi" w:hAnsiTheme="minorHAnsi"/>
                <w:sz w:val="22"/>
              </w:rPr>
              <w:t xml:space="preserve"> </w:t>
            </w:r>
            <w:proofErr w:type="gramStart"/>
            <w:r w:rsidRPr="00E737E6">
              <w:rPr>
                <w:rFonts w:asciiTheme="minorHAnsi" w:hAnsiTheme="minorHAnsi"/>
                <w:sz w:val="22"/>
              </w:rPr>
              <w:t>May,</w:t>
            </w:r>
            <w:proofErr w:type="gramEnd"/>
            <w:r w:rsidRPr="00E737E6">
              <w:rPr>
                <w:rFonts w:asciiTheme="minorHAnsi" w:hAnsiTheme="minorHAnsi"/>
                <w:sz w:val="22"/>
              </w:rPr>
              <w:t xml:space="preserve"> 2024, Fife Housing Partnership 21</w:t>
            </w:r>
            <w:r w:rsidRPr="00E737E6">
              <w:rPr>
                <w:rFonts w:asciiTheme="minorHAnsi" w:hAnsiTheme="minorHAnsi"/>
                <w:sz w:val="22"/>
                <w:vertAlign w:val="superscript"/>
              </w:rPr>
              <w:t>st</w:t>
            </w:r>
            <w:r w:rsidRPr="00E737E6">
              <w:rPr>
                <w:rFonts w:asciiTheme="minorHAnsi" w:hAnsiTheme="minorHAnsi"/>
                <w:sz w:val="22"/>
              </w:rPr>
              <w:t xml:space="preserve"> May and 26</w:t>
            </w:r>
            <w:r w:rsidRPr="00E737E6">
              <w:rPr>
                <w:rFonts w:asciiTheme="minorHAnsi" w:hAnsiTheme="minorHAnsi"/>
                <w:sz w:val="22"/>
                <w:vertAlign w:val="superscript"/>
              </w:rPr>
              <w:t>th</w:t>
            </w:r>
            <w:r w:rsidRPr="00E737E6">
              <w:rPr>
                <w:rFonts w:asciiTheme="minorHAnsi" w:hAnsiTheme="minorHAnsi"/>
                <w:sz w:val="22"/>
              </w:rPr>
              <w:t xml:space="preserve"> April Workshop, Fife HEAP Summit 27</w:t>
            </w:r>
            <w:r w:rsidRPr="00E737E6">
              <w:rPr>
                <w:rFonts w:asciiTheme="minorHAnsi" w:hAnsiTheme="minorHAnsi"/>
                <w:sz w:val="22"/>
                <w:vertAlign w:val="superscript"/>
              </w:rPr>
              <w:t>th</w:t>
            </w:r>
            <w:r w:rsidRPr="00E737E6">
              <w:rPr>
                <w:rFonts w:asciiTheme="minorHAnsi" w:hAnsiTheme="minorHAnsi"/>
                <w:sz w:val="22"/>
              </w:rPr>
              <w:t xml:space="preserve"> May</w:t>
            </w:r>
          </w:p>
        </w:tc>
      </w:tr>
      <w:tr w:rsidR="00E737E6" w:rsidRPr="00E737E6" w14:paraId="34FC67C6" w14:textId="77777777" w:rsidTr="006C7300">
        <w:tc>
          <w:tcPr>
            <w:tcW w:w="1200" w:type="dxa"/>
          </w:tcPr>
          <w:p w14:paraId="381A7CEA" w14:textId="77777777" w:rsidR="00E737E6" w:rsidRPr="00E737E6" w:rsidRDefault="00E737E6" w:rsidP="00E737E6">
            <w:pPr>
              <w:spacing w:before="0" w:after="0"/>
              <w:rPr>
                <w:rFonts w:asciiTheme="minorHAnsi" w:hAnsiTheme="minorHAnsi"/>
                <w:sz w:val="22"/>
              </w:rPr>
            </w:pPr>
            <w:r w:rsidRPr="00E737E6">
              <w:rPr>
                <w:rFonts w:asciiTheme="minorHAnsi" w:hAnsiTheme="minorHAnsi"/>
                <w:sz w:val="22"/>
              </w:rPr>
              <w:t>June</w:t>
            </w:r>
          </w:p>
        </w:tc>
        <w:tc>
          <w:tcPr>
            <w:tcW w:w="10277" w:type="dxa"/>
          </w:tcPr>
          <w:p w14:paraId="6B36EBAE" w14:textId="77777777" w:rsidR="00E737E6" w:rsidRPr="00E737E6" w:rsidRDefault="00E737E6" w:rsidP="00E737E6">
            <w:pPr>
              <w:spacing w:before="0" w:after="0"/>
              <w:rPr>
                <w:rFonts w:asciiTheme="minorHAnsi" w:hAnsiTheme="minorHAnsi"/>
                <w:sz w:val="22"/>
              </w:rPr>
            </w:pPr>
            <w:r w:rsidRPr="00E737E6">
              <w:rPr>
                <w:rFonts w:asciiTheme="minorHAnsi" w:hAnsiTheme="minorHAnsi"/>
                <w:sz w:val="22"/>
              </w:rPr>
              <w:t>Cabinet Committee 6</w:t>
            </w:r>
            <w:r w:rsidRPr="00E737E6">
              <w:rPr>
                <w:rFonts w:asciiTheme="minorHAnsi" w:hAnsiTheme="minorHAnsi"/>
                <w:sz w:val="22"/>
                <w:vertAlign w:val="superscript"/>
              </w:rPr>
              <w:t>th</w:t>
            </w:r>
            <w:r w:rsidRPr="00E737E6">
              <w:rPr>
                <w:rFonts w:asciiTheme="minorHAnsi" w:hAnsiTheme="minorHAnsi"/>
                <w:sz w:val="22"/>
              </w:rPr>
              <w:t xml:space="preserve"> June, further Stakeholder Engagement, Incorporation of Summit Outcomes and ongoing development of the Action Plan through the HEAP Board Council Leadership Team and Extended Council Leadership Team Engagement</w:t>
            </w:r>
          </w:p>
        </w:tc>
      </w:tr>
      <w:tr w:rsidR="00E737E6" w:rsidRPr="00E737E6" w14:paraId="77CE34C4" w14:textId="77777777" w:rsidTr="00157C6B">
        <w:tc>
          <w:tcPr>
            <w:tcW w:w="1200" w:type="dxa"/>
            <w:tcBorders>
              <w:bottom w:val="single" w:sz="4" w:space="0" w:color="auto"/>
            </w:tcBorders>
          </w:tcPr>
          <w:p w14:paraId="5225F09E" w14:textId="77777777" w:rsidR="00E737E6" w:rsidRPr="00E737E6" w:rsidRDefault="00E737E6" w:rsidP="00E737E6">
            <w:pPr>
              <w:spacing w:before="0" w:after="0"/>
              <w:rPr>
                <w:rFonts w:asciiTheme="minorHAnsi" w:hAnsiTheme="minorHAnsi"/>
                <w:sz w:val="22"/>
              </w:rPr>
            </w:pPr>
            <w:r w:rsidRPr="00E737E6">
              <w:rPr>
                <w:rFonts w:asciiTheme="minorHAnsi" w:hAnsiTheme="minorHAnsi"/>
                <w:sz w:val="22"/>
              </w:rPr>
              <w:t>July</w:t>
            </w:r>
          </w:p>
        </w:tc>
        <w:tc>
          <w:tcPr>
            <w:tcW w:w="10277" w:type="dxa"/>
          </w:tcPr>
          <w:p w14:paraId="148CC780" w14:textId="77777777" w:rsidR="00E737E6" w:rsidRPr="00E737E6" w:rsidRDefault="00E737E6" w:rsidP="00E737E6">
            <w:pPr>
              <w:spacing w:before="0" w:after="0"/>
              <w:rPr>
                <w:rFonts w:asciiTheme="minorHAnsi" w:hAnsiTheme="minorHAnsi"/>
                <w:sz w:val="22"/>
              </w:rPr>
            </w:pPr>
            <w:r w:rsidRPr="00E737E6">
              <w:rPr>
                <w:rFonts w:asciiTheme="minorHAnsi" w:hAnsiTheme="minorHAnsi"/>
                <w:sz w:val="22"/>
              </w:rPr>
              <w:t>Development of financial and resource plan, with associated Performance Management Framework</w:t>
            </w:r>
          </w:p>
        </w:tc>
      </w:tr>
      <w:tr w:rsidR="00E737E6" w:rsidRPr="00E737E6" w14:paraId="616BC14F" w14:textId="77777777" w:rsidTr="00157C6B">
        <w:tc>
          <w:tcPr>
            <w:tcW w:w="1200" w:type="dxa"/>
            <w:tcBorders>
              <w:top w:val="single" w:sz="4" w:space="0" w:color="auto"/>
              <w:left w:val="single" w:sz="4" w:space="0" w:color="auto"/>
              <w:bottom w:val="nil"/>
              <w:right w:val="single" w:sz="4" w:space="0" w:color="auto"/>
            </w:tcBorders>
          </w:tcPr>
          <w:p w14:paraId="3CCB370B" w14:textId="440FB5CE" w:rsidR="00E737E6" w:rsidRPr="00E737E6" w:rsidRDefault="00584F85" w:rsidP="00E737E6">
            <w:pPr>
              <w:spacing w:before="0" w:after="0"/>
              <w:rPr>
                <w:rFonts w:asciiTheme="minorHAnsi" w:hAnsiTheme="minorHAnsi"/>
                <w:sz w:val="22"/>
              </w:rPr>
            </w:pPr>
            <w:r>
              <w:rPr>
                <w:rFonts w:asciiTheme="minorHAnsi" w:hAnsiTheme="minorHAnsi"/>
                <w:sz w:val="22"/>
              </w:rPr>
              <w:t xml:space="preserve">From </w:t>
            </w:r>
          </w:p>
        </w:tc>
        <w:tc>
          <w:tcPr>
            <w:tcW w:w="10277" w:type="dxa"/>
            <w:tcBorders>
              <w:left w:val="single" w:sz="4" w:space="0" w:color="auto"/>
            </w:tcBorders>
          </w:tcPr>
          <w:p w14:paraId="5B0B73F1" w14:textId="77777777" w:rsidR="00E737E6" w:rsidRPr="00E737E6" w:rsidRDefault="00E737E6" w:rsidP="00E737E6">
            <w:pPr>
              <w:spacing w:before="0" w:after="0"/>
              <w:rPr>
                <w:rFonts w:asciiTheme="minorHAnsi" w:hAnsiTheme="minorHAnsi"/>
                <w:sz w:val="22"/>
              </w:rPr>
            </w:pPr>
            <w:r w:rsidRPr="00E737E6">
              <w:rPr>
                <w:rFonts w:asciiTheme="minorHAnsi" w:hAnsiTheme="minorHAnsi"/>
                <w:sz w:val="22"/>
              </w:rPr>
              <w:t>Finalisation of the Housing Capital Plan and Affordable Housing Programme</w:t>
            </w:r>
          </w:p>
        </w:tc>
      </w:tr>
      <w:tr w:rsidR="00E737E6" w:rsidRPr="00E737E6" w14:paraId="07124B77" w14:textId="77777777" w:rsidTr="00157C6B">
        <w:tc>
          <w:tcPr>
            <w:tcW w:w="1200" w:type="dxa"/>
            <w:tcBorders>
              <w:top w:val="nil"/>
              <w:left w:val="single" w:sz="4" w:space="0" w:color="auto"/>
              <w:bottom w:val="nil"/>
              <w:right w:val="single" w:sz="4" w:space="0" w:color="auto"/>
            </w:tcBorders>
          </w:tcPr>
          <w:p w14:paraId="7DE3EEF4" w14:textId="1A68AEF1" w:rsidR="00E737E6" w:rsidRPr="00E737E6" w:rsidRDefault="00584F85" w:rsidP="00E737E6">
            <w:pPr>
              <w:spacing w:before="0" w:after="0"/>
              <w:rPr>
                <w:rFonts w:asciiTheme="minorHAnsi" w:hAnsiTheme="minorHAnsi"/>
                <w:sz w:val="22"/>
              </w:rPr>
            </w:pPr>
            <w:r>
              <w:rPr>
                <w:rFonts w:asciiTheme="minorHAnsi" w:hAnsiTheme="minorHAnsi"/>
                <w:sz w:val="22"/>
              </w:rPr>
              <w:t>September</w:t>
            </w:r>
          </w:p>
        </w:tc>
        <w:tc>
          <w:tcPr>
            <w:tcW w:w="10277" w:type="dxa"/>
            <w:tcBorders>
              <w:left w:val="single" w:sz="4" w:space="0" w:color="auto"/>
            </w:tcBorders>
          </w:tcPr>
          <w:p w14:paraId="2C52FF20" w14:textId="77777777" w:rsidR="00E737E6" w:rsidRPr="00E737E6" w:rsidRDefault="00E737E6" w:rsidP="00E737E6">
            <w:pPr>
              <w:spacing w:before="0" w:after="0"/>
              <w:rPr>
                <w:rFonts w:asciiTheme="minorHAnsi" w:hAnsiTheme="minorHAnsi"/>
                <w:sz w:val="22"/>
              </w:rPr>
            </w:pPr>
            <w:r w:rsidRPr="00E737E6">
              <w:rPr>
                <w:rFonts w:asciiTheme="minorHAnsi" w:hAnsiTheme="minorHAnsi"/>
                <w:sz w:val="22"/>
              </w:rPr>
              <w:t>Production of a final Housing Emergency Action Plan</w:t>
            </w:r>
          </w:p>
        </w:tc>
      </w:tr>
      <w:tr w:rsidR="00E737E6" w:rsidRPr="00E737E6" w14:paraId="1427260A" w14:textId="77777777" w:rsidTr="00157C6B">
        <w:tc>
          <w:tcPr>
            <w:tcW w:w="1200" w:type="dxa"/>
            <w:tcBorders>
              <w:top w:val="nil"/>
              <w:left w:val="single" w:sz="4" w:space="0" w:color="auto"/>
              <w:bottom w:val="single" w:sz="4" w:space="0" w:color="auto"/>
              <w:right w:val="single" w:sz="4" w:space="0" w:color="auto"/>
            </w:tcBorders>
          </w:tcPr>
          <w:p w14:paraId="63E5C9BA" w14:textId="7C6428D5" w:rsidR="00E737E6" w:rsidRPr="00E737E6" w:rsidRDefault="00584F85" w:rsidP="00E737E6">
            <w:pPr>
              <w:spacing w:before="0" w:after="0"/>
              <w:rPr>
                <w:rFonts w:asciiTheme="minorHAnsi" w:hAnsiTheme="minorHAnsi"/>
                <w:sz w:val="22"/>
              </w:rPr>
            </w:pPr>
            <w:r>
              <w:rPr>
                <w:rFonts w:asciiTheme="minorHAnsi" w:hAnsiTheme="minorHAnsi"/>
                <w:sz w:val="22"/>
              </w:rPr>
              <w:t>Onwards</w:t>
            </w:r>
          </w:p>
        </w:tc>
        <w:tc>
          <w:tcPr>
            <w:tcW w:w="10277" w:type="dxa"/>
            <w:tcBorders>
              <w:left w:val="single" w:sz="4" w:space="0" w:color="auto"/>
            </w:tcBorders>
          </w:tcPr>
          <w:p w14:paraId="0178D8F0" w14:textId="77777777" w:rsidR="00E737E6" w:rsidRPr="00E737E6" w:rsidRDefault="00E737E6" w:rsidP="00E737E6">
            <w:pPr>
              <w:spacing w:before="0" w:after="0"/>
              <w:rPr>
                <w:rFonts w:asciiTheme="minorHAnsi" w:hAnsiTheme="minorHAnsi"/>
                <w:sz w:val="22"/>
              </w:rPr>
            </w:pPr>
            <w:r w:rsidRPr="00E737E6">
              <w:rPr>
                <w:rFonts w:asciiTheme="minorHAnsi" w:hAnsiTheme="minorHAnsi"/>
                <w:sz w:val="22"/>
              </w:rPr>
              <w:t>Progress Report back to Cabinet</w:t>
            </w:r>
          </w:p>
        </w:tc>
      </w:tr>
    </w:tbl>
    <w:p w14:paraId="1E5CEEEF" w14:textId="15E92DBF" w:rsidR="00E737E6" w:rsidRPr="00E737E6" w:rsidRDefault="00E737E6" w:rsidP="00E737E6">
      <w:pPr>
        <w:spacing w:before="0" w:after="160" w:line="259" w:lineRule="auto"/>
        <w:jc w:val="center"/>
        <w:rPr>
          <w:rFonts w:asciiTheme="minorHAnsi" w:eastAsiaTheme="minorHAnsi" w:hAnsiTheme="minorHAnsi" w:cstheme="minorBidi"/>
          <w:b/>
          <w:bCs/>
          <w:kern w:val="2"/>
          <w:sz w:val="22"/>
          <w:szCs w:val="22"/>
          <w:lang w:eastAsia="en-US"/>
          <w14:ligatures w14:val="standardContextual"/>
        </w:rPr>
        <w:sectPr w:rsidR="00E737E6" w:rsidRPr="00E737E6" w:rsidSect="00C4200A">
          <w:headerReference w:type="even" r:id="rId13"/>
          <w:headerReference w:type="default" r:id="rId14"/>
          <w:footerReference w:type="even" r:id="rId15"/>
          <w:footerReference w:type="default" r:id="rId16"/>
          <w:headerReference w:type="first" r:id="rId17"/>
          <w:footerReference w:type="first" r:id="rId18"/>
          <w:pgSz w:w="16838" w:h="11906" w:orient="landscape"/>
          <w:pgMar w:top="1134" w:right="820" w:bottom="851" w:left="1152" w:header="709" w:footer="709" w:gutter="0"/>
          <w:cols w:space="708"/>
          <w:docGrid w:linePitch="360"/>
        </w:sectPr>
      </w:pPr>
      <w:r w:rsidRPr="00E737E6">
        <w:rPr>
          <w:rFonts w:asciiTheme="minorHAnsi" w:eastAsiaTheme="minorHAnsi" w:hAnsiTheme="minorHAnsi" w:cstheme="minorBidi"/>
          <w:b/>
          <w:bCs/>
          <w:kern w:val="2"/>
          <w:sz w:val="22"/>
          <w:szCs w:val="22"/>
          <w:lang w:eastAsia="en-US"/>
          <w14:ligatures w14:val="standardContextual"/>
        </w:rPr>
        <w:br w:type="textWrapping" w:clear="all"/>
      </w:r>
    </w:p>
    <w:tbl>
      <w:tblPr>
        <w:tblStyle w:val="TableGrid1"/>
        <w:tblW w:w="1458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19"/>
        <w:gridCol w:w="5387"/>
        <w:gridCol w:w="8080"/>
      </w:tblGrid>
      <w:tr w:rsidR="00E737E6" w:rsidRPr="00E737E6" w14:paraId="36F6EB60" w14:textId="77777777" w:rsidTr="006C7300">
        <w:tc>
          <w:tcPr>
            <w:tcW w:w="14586" w:type="dxa"/>
            <w:gridSpan w:val="3"/>
            <w:shd w:val="clear" w:color="auto" w:fill="538135" w:themeFill="accent6" w:themeFillShade="BF"/>
          </w:tcPr>
          <w:p w14:paraId="6E470E27" w14:textId="77777777" w:rsidR="00E737E6" w:rsidRPr="00E737E6" w:rsidRDefault="00E737E6" w:rsidP="00E737E6">
            <w:pPr>
              <w:spacing w:before="0" w:after="0"/>
              <w:rPr>
                <w:rFonts w:asciiTheme="minorHAnsi" w:hAnsiTheme="minorHAnsi"/>
                <w:b/>
                <w:color w:val="FFFFFF" w:themeColor="background1"/>
                <w:sz w:val="22"/>
              </w:rPr>
            </w:pPr>
            <w:r w:rsidRPr="00E737E6">
              <w:rPr>
                <w:rFonts w:asciiTheme="minorHAnsi" w:hAnsiTheme="minorHAnsi"/>
                <w:b/>
                <w:bCs/>
                <w:color w:val="FFFFFF" w:themeColor="background1"/>
                <w:sz w:val="22"/>
              </w:rPr>
              <w:lastRenderedPageBreak/>
              <w:t xml:space="preserve">Theme 1: Maintaining affordable housing </w:t>
            </w:r>
            <w:r w:rsidRPr="00E737E6">
              <w:rPr>
                <w:rFonts w:asciiTheme="minorHAnsi" w:hAnsiTheme="minorHAnsi"/>
                <w:b/>
                <w:color w:val="FFFFFF" w:themeColor="background1"/>
                <w:sz w:val="22"/>
              </w:rPr>
              <w:t>supply</w:t>
            </w:r>
          </w:p>
        </w:tc>
      </w:tr>
      <w:tr w:rsidR="00E737E6" w:rsidRPr="00E737E6" w14:paraId="44952CB5" w14:textId="77777777" w:rsidTr="006C7300">
        <w:tc>
          <w:tcPr>
            <w:tcW w:w="14586" w:type="dxa"/>
            <w:gridSpan w:val="3"/>
          </w:tcPr>
          <w:p w14:paraId="39B0896F" w14:textId="77777777" w:rsidR="00E737E6" w:rsidRPr="00E737E6" w:rsidRDefault="00E737E6" w:rsidP="00E737E6">
            <w:pPr>
              <w:spacing w:before="0" w:after="0"/>
              <w:rPr>
                <w:rFonts w:asciiTheme="minorHAnsi" w:hAnsiTheme="minorHAnsi"/>
                <w:sz w:val="22"/>
              </w:rPr>
            </w:pPr>
            <w:r w:rsidRPr="00E737E6">
              <w:rPr>
                <w:rFonts w:asciiTheme="minorHAnsi" w:hAnsiTheme="minorHAnsi"/>
                <w:sz w:val="22"/>
              </w:rPr>
              <w:t xml:space="preserve">We need to maintain affordable housing supply </w:t>
            </w:r>
            <w:proofErr w:type="gramStart"/>
            <w:r w:rsidRPr="00E737E6">
              <w:rPr>
                <w:rFonts w:asciiTheme="minorHAnsi" w:hAnsiTheme="minorHAnsi"/>
                <w:sz w:val="22"/>
              </w:rPr>
              <w:t>in light of</w:t>
            </w:r>
            <w:proofErr w:type="gramEnd"/>
            <w:r w:rsidRPr="00E737E6">
              <w:rPr>
                <w:rFonts w:asciiTheme="minorHAnsi" w:hAnsiTheme="minorHAnsi"/>
                <w:sz w:val="22"/>
              </w:rPr>
              <w:t xml:space="preserve"> Scottish Government reduction in housing subsidy to support the Fife Affordable Housing Programme and options across all tenures to ensure housing needs are being met, increasing housing options and choice</w:t>
            </w:r>
          </w:p>
        </w:tc>
      </w:tr>
      <w:tr w:rsidR="00E737E6" w:rsidRPr="00E737E6" w14:paraId="713CCA10" w14:textId="77777777" w:rsidTr="006C7300">
        <w:tc>
          <w:tcPr>
            <w:tcW w:w="6506" w:type="dxa"/>
            <w:gridSpan w:val="2"/>
            <w:shd w:val="clear" w:color="auto" w:fill="C5E0B3" w:themeFill="accent6" w:themeFillTint="66"/>
          </w:tcPr>
          <w:p w14:paraId="29E0FD3D" w14:textId="77777777" w:rsidR="00E737E6" w:rsidRPr="00E737E6" w:rsidRDefault="00E737E6" w:rsidP="00E737E6">
            <w:pPr>
              <w:spacing w:before="0" w:after="0"/>
              <w:rPr>
                <w:rFonts w:asciiTheme="minorHAnsi" w:hAnsiTheme="minorHAnsi"/>
                <w:b/>
                <w:bCs/>
                <w:sz w:val="22"/>
              </w:rPr>
            </w:pPr>
            <w:r w:rsidRPr="00E737E6">
              <w:rPr>
                <w:rFonts w:asciiTheme="minorHAnsi" w:hAnsiTheme="minorHAnsi"/>
                <w:b/>
                <w:bCs/>
                <w:sz w:val="22"/>
              </w:rPr>
              <w:t xml:space="preserve">Current Challenges </w:t>
            </w:r>
          </w:p>
        </w:tc>
        <w:tc>
          <w:tcPr>
            <w:tcW w:w="8080" w:type="dxa"/>
            <w:shd w:val="clear" w:color="auto" w:fill="C5E0B3" w:themeFill="accent6" w:themeFillTint="66"/>
          </w:tcPr>
          <w:p w14:paraId="375FCCB3" w14:textId="77777777" w:rsidR="00E737E6" w:rsidRPr="00E737E6" w:rsidRDefault="00E737E6" w:rsidP="00E737E6">
            <w:pPr>
              <w:spacing w:before="0" w:after="0"/>
              <w:rPr>
                <w:rFonts w:asciiTheme="minorHAnsi" w:hAnsiTheme="minorHAnsi"/>
                <w:b/>
                <w:bCs/>
                <w:sz w:val="22"/>
              </w:rPr>
            </w:pPr>
            <w:r w:rsidRPr="00E737E6">
              <w:rPr>
                <w:rFonts w:asciiTheme="minorHAnsi" w:hAnsiTheme="minorHAnsi"/>
                <w:b/>
                <w:bCs/>
                <w:sz w:val="22"/>
              </w:rPr>
              <w:t>Impact</w:t>
            </w:r>
          </w:p>
        </w:tc>
      </w:tr>
      <w:tr w:rsidR="00E737E6" w:rsidRPr="00E737E6" w14:paraId="291FE7A1" w14:textId="77777777" w:rsidTr="006C7300">
        <w:tc>
          <w:tcPr>
            <w:tcW w:w="6506" w:type="dxa"/>
            <w:gridSpan w:val="2"/>
          </w:tcPr>
          <w:p w14:paraId="4420BC40" w14:textId="77777777" w:rsidR="00E737E6" w:rsidRPr="00E737E6" w:rsidRDefault="00E737E6" w:rsidP="00E737E6">
            <w:pPr>
              <w:spacing w:before="0" w:after="0"/>
              <w:rPr>
                <w:rFonts w:asciiTheme="minorHAnsi" w:hAnsiTheme="minorHAnsi"/>
                <w:sz w:val="22"/>
              </w:rPr>
            </w:pPr>
            <w:r w:rsidRPr="00E737E6">
              <w:rPr>
                <w:rFonts w:asciiTheme="minorHAnsi" w:hAnsiTheme="minorHAnsi"/>
                <w:sz w:val="22"/>
              </w:rPr>
              <w:t>Scottish Government reduction in the Affordable Housing Programme housing subsidy provided in 2024/25 and potentially in future years</w:t>
            </w:r>
          </w:p>
        </w:tc>
        <w:tc>
          <w:tcPr>
            <w:tcW w:w="8080" w:type="dxa"/>
          </w:tcPr>
          <w:p w14:paraId="36E2C794" w14:textId="77777777" w:rsidR="00E737E6" w:rsidRPr="00E737E6" w:rsidRDefault="00E737E6" w:rsidP="00E737E6">
            <w:pPr>
              <w:spacing w:before="0" w:after="0"/>
              <w:rPr>
                <w:rFonts w:ascii="Calibri" w:hAnsi="Calibri" w:cs="Calibri"/>
                <w:sz w:val="22"/>
                <w:shd w:val="clear" w:color="auto" w:fill="FFFFFF"/>
              </w:rPr>
            </w:pPr>
            <w:r w:rsidRPr="00E737E6">
              <w:rPr>
                <w:rFonts w:ascii="Calibri" w:hAnsi="Calibri" w:cs="Calibri"/>
                <w:sz w:val="22"/>
                <w:shd w:val="clear" w:color="auto" w:fill="FFFFFF"/>
              </w:rPr>
              <w:t>Reduction in the Affordable Housing Programme</w:t>
            </w:r>
          </w:p>
          <w:p w14:paraId="350F5AEC" w14:textId="77777777" w:rsidR="00E737E6" w:rsidRPr="00E737E6" w:rsidRDefault="00E737E6" w:rsidP="00E737E6">
            <w:pPr>
              <w:spacing w:before="0" w:after="0"/>
              <w:rPr>
                <w:rFonts w:ascii="Calibri" w:hAnsi="Calibri" w:cs="Calibri"/>
                <w:sz w:val="22"/>
              </w:rPr>
            </w:pPr>
            <w:r w:rsidRPr="00E737E6">
              <w:rPr>
                <w:rFonts w:ascii="Calibri" w:hAnsi="Calibri" w:cs="Calibri"/>
                <w:sz w:val="22"/>
                <w:shd w:val="clear" w:color="auto" w:fill="FFFFFF"/>
              </w:rPr>
              <w:t>New site approvals in 2024/25 reduced with impacts on properties available for let</w:t>
            </w:r>
          </w:p>
        </w:tc>
      </w:tr>
      <w:tr w:rsidR="00E737E6" w:rsidRPr="00E737E6" w14:paraId="24B07E34" w14:textId="77777777" w:rsidTr="006C7300">
        <w:tc>
          <w:tcPr>
            <w:tcW w:w="6506" w:type="dxa"/>
            <w:gridSpan w:val="2"/>
          </w:tcPr>
          <w:p w14:paraId="4805C170" w14:textId="77777777" w:rsidR="00E737E6" w:rsidRPr="00E737E6" w:rsidRDefault="00E737E6" w:rsidP="00E737E6">
            <w:pPr>
              <w:spacing w:before="0" w:after="0"/>
              <w:rPr>
                <w:rFonts w:asciiTheme="minorHAnsi" w:hAnsiTheme="minorHAnsi"/>
                <w:sz w:val="22"/>
              </w:rPr>
            </w:pPr>
            <w:r w:rsidRPr="00E737E6">
              <w:rPr>
                <w:rFonts w:ascii="Calibri" w:hAnsi="Calibri" w:cs="Calibri"/>
                <w:sz w:val="22"/>
                <w:shd w:val="clear" w:color="auto" w:fill="FFFFFF"/>
              </w:rPr>
              <w:t>HRA and landlord capital fund and revenue budget pressures within the context of inflated supply, labour and material costs</w:t>
            </w:r>
          </w:p>
        </w:tc>
        <w:tc>
          <w:tcPr>
            <w:tcW w:w="8080" w:type="dxa"/>
          </w:tcPr>
          <w:p w14:paraId="1FDAB723" w14:textId="77777777" w:rsidR="00E737E6" w:rsidRPr="00E737E6" w:rsidRDefault="00E737E6" w:rsidP="00E737E6">
            <w:pPr>
              <w:spacing w:before="0" w:after="0"/>
              <w:rPr>
                <w:rFonts w:ascii="Calibri" w:hAnsi="Calibri" w:cs="Calibri"/>
                <w:sz w:val="22"/>
                <w:shd w:val="clear" w:color="auto" w:fill="FFFFFF"/>
              </w:rPr>
            </w:pPr>
            <w:r w:rsidRPr="00E737E6">
              <w:rPr>
                <w:rFonts w:ascii="Calibri" w:hAnsi="Calibri" w:cs="Calibri"/>
                <w:sz w:val="22"/>
                <w:shd w:val="clear" w:color="auto" w:fill="FFFFFF"/>
              </w:rPr>
              <w:t xml:space="preserve">Restricted funding capacity for acquisitions </w:t>
            </w:r>
            <w:r w:rsidRPr="00E737E6">
              <w:rPr>
                <w:rFonts w:asciiTheme="minorHAnsi" w:hAnsiTheme="minorHAnsi"/>
                <w:sz w:val="22"/>
              </w:rPr>
              <w:t xml:space="preserve">and </w:t>
            </w:r>
            <w:r w:rsidRPr="00E737E6">
              <w:rPr>
                <w:rFonts w:ascii="Calibri" w:hAnsi="Calibri" w:cs="Calibri"/>
                <w:sz w:val="22"/>
                <w:shd w:val="clear" w:color="auto" w:fill="FFFFFF"/>
              </w:rPr>
              <w:t>to meet stock condition improvements </w:t>
            </w:r>
          </w:p>
        </w:tc>
      </w:tr>
      <w:tr w:rsidR="00E737E6" w:rsidRPr="00E737E6" w14:paraId="19F65A88" w14:textId="77777777" w:rsidTr="006C7300">
        <w:tc>
          <w:tcPr>
            <w:tcW w:w="14586" w:type="dxa"/>
            <w:gridSpan w:val="3"/>
            <w:shd w:val="clear" w:color="auto" w:fill="C5E0B3" w:themeFill="accent6" w:themeFillTint="66"/>
          </w:tcPr>
          <w:p w14:paraId="21E6451E" w14:textId="77777777" w:rsidR="00E737E6" w:rsidRPr="00E737E6" w:rsidRDefault="00E737E6" w:rsidP="00E737E6">
            <w:pPr>
              <w:spacing w:before="0" w:after="0"/>
              <w:rPr>
                <w:rFonts w:asciiTheme="minorHAnsi" w:hAnsiTheme="minorHAnsi"/>
                <w:b/>
                <w:bCs/>
                <w:sz w:val="22"/>
              </w:rPr>
            </w:pPr>
            <w:r w:rsidRPr="00E737E6">
              <w:rPr>
                <w:rFonts w:asciiTheme="minorHAnsi" w:hAnsiTheme="minorHAnsi"/>
                <w:b/>
                <w:bCs/>
                <w:sz w:val="22"/>
              </w:rPr>
              <w:t xml:space="preserve">Key Outcome: </w:t>
            </w:r>
            <w:r w:rsidRPr="00E737E6">
              <w:rPr>
                <w:rFonts w:asciiTheme="minorHAnsi" w:hAnsiTheme="minorHAnsi"/>
                <w:i/>
                <w:iCs/>
                <w:sz w:val="22"/>
              </w:rPr>
              <w:t>Increase Affordable Homes and Property Acquisitions</w:t>
            </w:r>
          </w:p>
        </w:tc>
      </w:tr>
      <w:tr w:rsidR="00E737E6" w:rsidRPr="00E737E6" w14:paraId="478B2377" w14:textId="77777777" w:rsidTr="006C7300">
        <w:trPr>
          <w:trHeight w:val="360"/>
        </w:trPr>
        <w:tc>
          <w:tcPr>
            <w:tcW w:w="14586" w:type="dxa"/>
            <w:gridSpan w:val="3"/>
            <w:shd w:val="clear" w:color="auto" w:fill="C5E0B3" w:themeFill="accent6" w:themeFillTint="66"/>
          </w:tcPr>
          <w:p w14:paraId="1AFBC396" w14:textId="77777777" w:rsidR="00E737E6" w:rsidRPr="00E737E6" w:rsidRDefault="00E737E6" w:rsidP="00E737E6">
            <w:pPr>
              <w:spacing w:before="0" w:after="0"/>
              <w:rPr>
                <w:rFonts w:asciiTheme="minorHAnsi" w:hAnsiTheme="minorHAnsi"/>
                <w:b/>
                <w:bCs/>
                <w:sz w:val="22"/>
              </w:rPr>
            </w:pPr>
            <w:r w:rsidRPr="00E737E6">
              <w:rPr>
                <w:rFonts w:asciiTheme="minorHAnsi" w:hAnsiTheme="minorHAnsi"/>
                <w:b/>
                <w:bCs/>
                <w:sz w:val="22"/>
              </w:rPr>
              <w:t>Improvement actions to be scoped, costed and considered with partners/stakeholders</w:t>
            </w:r>
          </w:p>
        </w:tc>
      </w:tr>
      <w:tr w:rsidR="00E737E6" w:rsidRPr="00E737E6" w14:paraId="4E8196F8" w14:textId="77777777" w:rsidTr="006C7300">
        <w:trPr>
          <w:trHeight w:val="202"/>
        </w:trPr>
        <w:tc>
          <w:tcPr>
            <w:tcW w:w="1119" w:type="dxa"/>
            <w:vMerge w:val="restart"/>
            <w:shd w:val="clear" w:color="auto" w:fill="C5E0B3" w:themeFill="accent6" w:themeFillTint="66"/>
          </w:tcPr>
          <w:p w14:paraId="3FDC5B21" w14:textId="77777777" w:rsidR="00E737E6" w:rsidRPr="00E737E6" w:rsidRDefault="00E737E6" w:rsidP="00E737E6">
            <w:pPr>
              <w:spacing w:before="0" w:after="0"/>
              <w:rPr>
                <w:rFonts w:asciiTheme="minorHAnsi" w:hAnsiTheme="minorHAnsi"/>
                <w:b/>
                <w:bCs/>
                <w:sz w:val="22"/>
              </w:rPr>
            </w:pPr>
            <w:r w:rsidRPr="00E737E6">
              <w:rPr>
                <w:rFonts w:asciiTheme="minorHAnsi" w:hAnsiTheme="minorHAnsi"/>
                <w:b/>
                <w:bCs/>
                <w:sz w:val="22"/>
              </w:rPr>
              <w:t xml:space="preserve">2024-25 </w:t>
            </w:r>
          </w:p>
        </w:tc>
        <w:tc>
          <w:tcPr>
            <w:tcW w:w="13467" w:type="dxa"/>
            <w:gridSpan w:val="2"/>
          </w:tcPr>
          <w:p w14:paraId="03A0E519" w14:textId="77777777" w:rsidR="00E737E6" w:rsidRPr="00E737E6" w:rsidRDefault="00E737E6" w:rsidP="00E737E6">
            <w:pPr>
              <w:spacing w:before="0" w:after="0"/>
              <w:rPr>
                <w:rFonts w:asciiTheme="minorHAnsi" w:hAnsiTheme="minorHAnsi"/>
                <w:b/>
                <w:bCs/>
                <w:sz w:val="22"/>
              </w:rPr>
            </w:pPr>
            <w:r w:rsidRPr="00E737E6">
              <w:rPr>
                <w:rFonts w:ascii="Calibri" w:hAnsi="Calibri" w:cs="Calibri"/>
                <w:sz w:val="22"/>
                <w:shd w:val="clear" w:color="auto" w:fill="FFFFFF"/>
              </w:rPr>
              <w:t>Develop options to maintain the Affordable Housing Programme by October 2024</w:t>
            </w:r>
          </w:p>
        </w:tc>
      </w:tr>
      <w:tr w:rsidR="00E737E6" w:rsidRPr="00E737E6" w14:paraId="7F458353" w14:textId="77777777" w:rsidTr="006C7300">
        <w:trPr>
          <w:trHeight w:val="205"/>
        </w:trPr>
        <w:tc>
          <w:tcPr>
            <w:tcW w:w="1119" w:type="dxa"/>
            <w:vMerge/>
          </w:tcPr>
          <w:p w14:paraId="5C898C59" w14:textId="77777777" w:rsidR="00E737E6" w:rsidRPr="00E737E6" w:rsidRDefault="00E737E6" w:rsidP="00E737E6">
            <w:pPr>
              <w:spacing w:before="0" w:after="0"/>
              <w:rPr>
                <w:rFonts w:asciiTheme="minorHAnsi" w:hAnsiTheme="minorHAnsi"/>
                <w:b/>
                <w:bCs/>
                <w:sz w:val="22"/>
              </w:rPr>
            </w:pPr>
          </w:p>
        </w:tc>
        <w:tc>
          <w:tcPr>
            <w:tcW w:w="13467" w:type="dxa"/>
            <w:gridSpan w:val="2"/>
          </w:tcPr>
          <w:p w14:paraId="23DA0D86" w14:textId="77777777" w:rsidR="00E737E6" w:rsidRPr="00E737E6" w:rsidRDefault="00E737E6" w:rsidP="00E737E6">
            <w:pPr>
              <w:spacing w:before="0" w:after="0"/>
              <w:rPr>
                <w:rFonts w:asciiTheme="minorHAnsi" w:hAnsiTheme="minorHAnsi"/>
                <w:b/>
                <w:bCs/>
                <w:sz w:val="22"/>
              </w:rPr>
            </w:pPr>
            <w:r w:rsidRPr="00E737E6">
              <w:rPr>
                <w:rFonts w:ascii="Calibri" w:hAnsi="Calibri" w:cs="Calibri"/>
                <w:sz w:val="22"/>
                <w:shd w:val="clear" w:color="auto" w:fill="FFFFFF"/>
              </w:rPr>
              <w:t>Develop options to finance Property Acquisitions and develop a revised approach to acquisitions by December 2024</w:t>
            </w:r>
          </w:p>
        </w:tc>
      </w:tr>
      <w:tr w:rsidR="00E737E6" w:rsidRPr="00E737E6" w14:paraId="530FF722" w14:textId="77777777" w:rsidTr="006C7300">
        <w:trPr>
          <w:trHeight w:val="360"/>
        </w:trPr>
        <w:tc>
          <w:tcPr>
            <w:tcW w:w="1119" w:type="dxa"/>
            <w:vMerge/>
          </w:tcPr>
          <w:p w14:paraId="28CC0974" w14:textId="77777777" w:rsidR="00E737E6" w:rsidRPr="00E737E6" w:rsidRDefault="00E737E6" w:rsidP="00E737E6">
            <w:pPr>
              <w:spacing w:before="0" w:after="0"/>
              <w:rPr>
                <w:rFonts w:asciiTheme="minorHAnsi" w:hAnsiTheme="minorHAnsi"/>
                <w:b/>
                <w:bCs/>
                <w:sz w:val="22"/>
              </w:rPr>
            </w:pPr>
          </w:p>
        </w:tc>
        <w:tc>
          <w:tcPr>
            <w:tcW w:w="13467" w:type="dxa"/>
            <w:gridSpan w:val="2"/>
          </w:tcPr>
          <w:p w14:paraId="36937C2F" w14:textId="77777777" w:rsidR="00E737E6" w:rsidRPr="00E737E6" w:rsidRDefault="00E737E6" w:rsidP="00E737E6">
            <w:pPr>
              <w:spacing w:before="0" w:after="0"/>
              <w:rPr>
                <w:rFonts w:asciiTheme="minorHAnsi" w:hAnsiTheme="minorHAnsi"/>
                <w:b/>
                <w:bCs/>
                <w:sz w:val="22"/>
              </w:rPr>
            </w:pPr>
            <w:r w:rsidRPr="00E737E6">
              <w:rPr>
                <w:rFonts w:ascii="Calibri" w:hAnsi="Calibri" w:cs="Calibri"/>
                <w:sz w:val="22"/>
                <w:shd w:val="clear" w:color="auto" w:fill="FFFFFF"/>
              </w:rPr>
              <w:t>Explore an approach to develop modular and other forms of innovative housing by working in partnership with Edinburgh &amp; SE Scotland City Deal Regional Homes Demonstrator by March 2025</w:t>
            </w:r>
          </w:p>
        </w:tc>
      </w:tr>
      <w:tr w:rsidR="00E737E6" w:rsidRPr="00E737E6" w14:paraId="044FC101" w14:textId="77777777" w:rsidTr="006C7300">
        <w:trPr>
          <w:trHeight w:val="318"/>
        </w:trPr>
        <w:tc>
          <w:tcPr>
            <w:tcW w:w="1119" w:type="dxa"/>
            <w:vMerge/>
          </w:tcPr>
          <w:p w14:paraId="2688A7F3" w14:textId="77777777" w:rsidR="00E737E6" w:rsidRPr="00E737E6" w:rsidRDefault="00E737E6" w:rsidP="00E737E6">
            <w:pPr>
              <w:spacing w:before="0" w:after="0"/>
              <w:rPr>
                <w:rFonts w:asciiTheme="minorHAnsi" w:hAnsiTheme="minorHAnsi"/>
                <w:b/>
                <w:bCs/>
                <w:sz w:val="22"/>
              </w:rPr>
            </w:pPr>
          </w:p>
        </w:tc>
        <w:tc>
          <w:tcPr>
            <w:tcW w:w="13467" w:type="dxa"/>
            <w:gridSpan w:val="2"/>
          </w:tcPr>
          <w:p w14:paraId="639FCB86" w14:textId="77777777" w:rsidR="00E737E6" w:rsidRPr="00E737E6" w:rsidRDefault="00E737E6" w:rsidP="00E737E6">
            <w:pPr>
              <w:spacing w:before="0" w:after="0"/>
              <w:rPr>
                <w:rFonts w:ascii="Calibri" w:hAnsi="Calibri" w:cs="Calibri"/>
                <w:sz w:val="22"/>
                <w:shd w:val="clear" w:color="auto" w:fill="FFFFFF"/>
              </w:rPr>
            </w:pPr>
            <w:r w:rsidRPr="00E737E6">
              <w:rPr>
                <w:rFonts w:ascii="Calibri" w:hAnsi="Calibri" w:cs="Calibri"/>
                <w:sz w:val="22"/>
                <w:shd w:val="clear" w:color="auto" w:fill="FFFFFF"/>
              </w:rPr>
              <w:t>Engage with public and private sector landowners to increase the HRA landbank and support development in line with Plan4Fife by March 2025</w:t>
            </w:r>
          </w:p>
        </w:tc>
      </w:tr>
      <w:tr w:rsidR="00E737E6" w:rsidRPr="00E737E6" w14:paraId="456BFBEB" w14:textId="77777777" w:rsidTr="006C7300">
        <w:trPr>
          <w:trHeight w:val="318"/>
        </w:trPr>
        <w:tc>
          <w:tcPr>
            <w:tcW w:w="1119" w:type="dxa"/>
            <w:vMerge/>
          </w:tcPr>
          <w:p w14:paraId="02ABF75E" w14:textId="77777777" w:rsidR="00E737E6" w:rsidRPr="00E737E6" w:rsidRDefault="00E737E6" w:rsidP="00E737E6">
            <w:pPr>
              <w:spacing w:before="0" w:after="0"/>
              <w:rPr>
                <w:rFonts w:asciiTheme="minorHAnsi" w:hAnsiTheme="minorHAnsi"/>
                <w:b/>
                <w:bCs/>
                <w:sz w:val="22"/>
              </w:rPr>
            </w:pPr>
          </w:p>
        </w:tc>
        <w:tc>
          <w:tcPr>
            <w:tcW w:w="13467" w:type="dxa"/>
            <w:gridSpan w:val="2"/>
          </w:tcPr>
          <w:p w14:paraId="1A3D86E0" w14:textId="77777777" w:rsidR="00E737E6" w:rsidRPr="00E737E6" w:rsidRDefault="00E737E6" w:rsidP="00E737E6">
            <w:pPr>
              <w:spacing w:before="0" w:after="0"/>
              <w:rPr>
                <w:rFonts w:ascii="Calibri" w:hAnsi="Calibri" w:cs="Calibri"/>
                <w:sz w:val="22"/>
                <w:shd w:val="clear" w:color="auto" w:fill="FFFFFF"/>
              </w:rPr>
            </w:pPr>
            <w:r w:rsidRPr="00E737E6">
              <w:rPr>
                <w:rFonts w:ascii="Calibri" w:hAnsi="Calibri" w:cs="Calibri"/>
                <w:sz w:val="22"/>
                <w:shd w:val="clear" w:color="auto" w:fill="FFFFFF"/>
              </w:rPr>
              <w:t>Explore innovative housing investment and partnership models to maximise housing investment approaches</w:t>
            </w:r>
          </w:p>
        </w:tc>
      </w:tr>
      <w:tr w:rsidR="00E737E6" w:rsidRPr="00E737E6" w14:paraId="0AF54293" w14:textId="77777777" w:rsidTr="006C7300">
        <w:tc>
          <w:tcPr>
            <w:tcW w:w="1119" w:type="dxa"/>
            <w:vMerge w:val="restart"/>
            <w:shd w:val="clear" w:color="auto" w:fill="C5E0B3" w:themeFill="accent6" w:themeFillTint="66"/>
          </w:tcPr>
          <w:p w14:paraId="5AAC4E38" w14:textId="77777777" w:rsidR="00E737E6" w:rsidRPr="00E737E6" w:rsidRDefault="00E737E6" w:rsidP="00E737E6">
            <w:pPr>
              <w:spacing w:before="0" w:after="0"/>
              <w:rPr>
                <w:rFonts w:asciiTheme="minorHAnsi" w:hAnsiTheme="minorHAnsi"/>
                <w:b/>
                <w:bCs/>
                <w:sz w:val="22"/>
              </w:rPr>
            </w:pPr>
            <w:r w:rsidRPr="00E737E6">
              <w:rPr>
                <w:rFonts w:asciiTheme="minorHAnsi" w:hAnsiTheme="minorHAnsi"/>
                <w:b/>
                <w:bCs/>
                <w:sz w:val="22"/>
              </w:rPr>
              <w:t>2025-27</w:t>
            </w:r>
          </w:p>
          <w:p w14:paraId="1F41B11B" w14:textId="77777777" w:rsidR="00E737E6" w:rsidRPr="00E737E6" w:rsidRDefault="00E737E6" w:rsidP="00E737E6">
            <w:pPr>
              <w:spacing w:before="0" w:after="0"/>
              <w:rPr>
                <w:rFonts w:asciiTheme="minorHAnsi" w:hAnsiTheme="minorHAnsi"/>
                <w:b/>
                <w:bCs/>
                <w:sz w:val="22"/>
              </w:rPr>
            </w:pPr>
          </w:p>
        </w:tc>
        <w:tc>
          <w:tcPr>
            <w:tcW w:w="13467" w:type="dxa"/>
            <w:gridSpan w:val="2"/>
          </w:tcPr>
          <w:p w14:paraId="36342ED4" w14:textId="77777777" w:rsidR="00E737E6" w:rsidRPr="00E737E6" w:rsidRDefault="00E737E6" w:rsidP="00E737E6">
            <w:pPr>
              <w:spacing w:before="0" w:after="0"/>
              <w:rPr>
                <w:rFonts w:ascii="Calibri" w:hAnsi="Calibri" w:cs="Calibri"/>
                <w:sz w:val="22"/>
                <w:shd w:val="clear" w:color="auto" w:fill="FFFFFF"/>
              </w:rPr>
            </w:pPr>
            <w:r w:rsidRPr="00E737E6">
              <w:rPr>
                <w:rFonts w:ascii="Calibri" w:hAnsi="Calibri" w:cs="Calibri"/>
                <w:sz w:val="22"/>
                <w:shd w:val="clear" w:color="auto" w:fill="FFFFFF"/>
              </w:rPr>
              <w:t>Increase provision of Mid-Market Rent properties as a viable housing option for homeless and housing applicants in employment</w:t>
            </w:r>
          </w:p>
        </w:tc>
      </w:tr>
      <w:tr w:rsidR="00E737E6" w:rsidRPr="00E737E6" w14:paraId="47078A7A" w14:textId="77777777" w:rsidTr="006C7300">
        <w:tc>
          <w:tcPr>
            <w:tcW w:w="1119" w:type="dxa"/>
            <w:vMerge/>
          </w:tcPr>
          <w:p w14:paraId="7E07C6C8" w14:textId="77777777" w:rsidR="00E737E6" w:rsidRPr="00E737E6" w:rsidRDefault="00E737E6" w:rsidP="00E737E6">
            <w:pPr>
              <w:spacing w:before="0" w:after="0"/>
              <w:rPr>
                <w:rFonts w:asciiTheme="minorHAnsi" w:hAnsiTheme="minorHAnsi"/>
                <w:b/>
                <w:bCs/>
                <w:sz w:val="22"/>
              </w:rPr>
            </w:pPr>
          </w:p>
        </w:tc>
        <w:tc>
          <w:tcPr>
            <w:tcW w:w="13467" w:type="dxa"/>
            <w:gridSpan w:val="2"/>
          </w:tcPr>
          <w:p w14:paraId="0B61EE81" w14:textId="77777777" w:rsidR="00E737E6" w:rsidRPr="00E737E6" w:rsidRDefault="00E737E6" w:rsidP="00E737E6">
            <w:pPr>
              <w:spacing w:before="0" w:after="0"/>
              <w:rPr>
                <w:rFonts w:asciiTheme="minorHAnsi" w:hAnsiTheme="minorHAnsi"/>
                <w:b/>
                <w:bCs/>
                <w:sz w:val="22"/>
              </w:rPr>
            </w:pPr>
            <w:r w:rsidRPr="00E737E6">
              <w:rPr>
                <w:rFonts w:ascii="Calibri" w:hAnsi="Calibri" w:cs="Calibri"/>
                <w:sz w:val="22"/>
                <w:shd w:val="clear" w:color="auto" w:fill="FFFFFF"/>
              </w:rPr>
              <w:t>Test innovative housing investment models in partnership with the Scottish Government and the FHAA</w:t>
            </w:r>
          </w:p>
        </w:tc>
      </w:tr>
    </w:tbl>
    <w:p w14:paraId="07584C55" w14:textId="77777777" w:rsidR="00E737E6" w:rsidRPr="00E737E6" w:rsidRDefault="00E737E6" w:rsidP="00E737E6">
      <w:pPr>
        <w:spacing w:before="0" w:after="0" w:line="259" w:lineRule="auto"/>
        <w:rPr>
          <w:rFonts w:asciiTheme="minorHAnsi" w:eastAsiaTheme="minorHAnsi" w:hAnsiTheme="minorHAnsi" w:cstheme="minorBidi"/>
          <w:kern w:val="2"/>
          <w:sz w:val="8"/>
          <w:szCs w:val="8"/>
          <w:lang w:eastAsia="en-US"/>
          <w14:ligatures w14:val="standardContextual"/>
        </w:rPr>
      </w:pPr>
    </w:p>
    <w:tbl>
      <w:tblPr>
        <w:tblStyle w:val="TableGrid1"/>
        <w:tblW w:w="1458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25"/>
        <w:gridCol w:w="5381"/>
        <w:gridCol w:w="8080"/>
      </w:tblGrid>
      <w:tr w:rsidR="00E737E6" w:rsidRPr="00E737E6" w14:paraId="60066C25" w14:textId="77777777" w:rsidTr="006C7300">
        <w:tc>
          <w:tcPr>
            <w:tcW w:w="14586" w:type="dxa"/>
            <w:gridSpan w:val="3"/>
            <w:shd w:val="clear" w:color="auto" w:fill="C45911" w:themeFill="accent2" w:themeFillShade="BF"/>
          </w:tcPr>
          <w:p w14:paraId="6174FC78" w14:textId="77777777" w:rsidR="00E737E6" w:rsidRPr="00E737E6" w:rsidRDefault="00E737E6" w:rsidP="00E737E6">
            <w:pPr>
              <w:spacing w:before="0" w:after="0"/>
              <w:rPr>
                <w:rFonts w:asciiTheme="minorHAnsi" w:hAnsiTheme="minorHAnsi"/>
                <w:b/>
                <w:bCs/>
                <w:sz w:val="22"/>
              </w:rPr>
            </w:pPr>
            <w:r w:rsidRPr="00E737E6">
              <w:rPr>
                <w:rFonts w:asciiTheme="minorHAnsi" w:hAnsiTheme="minorHAnsi"/>
                <w:b/>
                <w:bCs/>
                <w:color w:val="FFFFFF" w:themeColor="background1"/>
                <w:sz w:val="22"/>
              </w:rPr>
              <w:t>Theme 2: Making best use of existing properties</w:t>
            </w:r>
          </w:p>
        </w:tc>
      </w:tr>
      <w:tr w:rsidR="00E737E6" w:rsidRPr="00E737E6" w14:paraId="66EC2664" w14:textId="77777777" w:rsidTr="006C7300">
        <w:tc>
          <w:tcPr>
            <w:tcW w:w="14586" w:type="dxa"/>
            <w:gridSpan w:val="3"/>
          </w:tcPr>
          <w:p w14:paraId="716FBE80" w14:textId="77777777" w:rsidR="00E737E6" w:rsidRPr="00E737E6" w:rsidRDefault="00E737E6" w:rsidP="00E737E6">
            <w:pPr>
              <w:spacing w:before="0" w:after="0"/>
              <w:rPr>
                <w:rFonts w:asciiTheme="minorHAnsi" w:hAnsiTheme="minorHAnsi"/>
                <w:sz w:val="22"/>
              </w:rPr>
            </w:pPr>
            <w:r w:rsidRPr="00E737E6">
              <w:rPr>
                <w:rFonts w:asciiTheme="minorHAnsi" w:hAnsiTheme="minorHAnsi"/>
                <w:sz w:val="22"/>
              </w:rPr>
              <w:t>We need to make best use of existing properties, ensuring empty properties are minimised and out of use for as short a period as possible</w:t>
            </w:r>
          </w:p>
        </w:tc>
      </w:tr>
      <w:tr w:rsidR="00E737E6" w:rsidRPr="00E737E6" w14:paraId="4C630C63" w14:textId="77777777" w:rsidTr="006C7300">
        <w:tc>
          <w:tcPr>
            <w:tcW w:w="6506" w:type="dxa"/>
            <w:gridSpan w:val="2"/>
            <w:shd w:val="clear" w:color="auto" w:fill="F7CAAC" w:themeFill="accent2" w:themeFillTint="66"/>
          </w:tcPr>
          <w:p w14:paraId="0C89A7C4" w14:textId="77777777" w:rsidR="00E737E6" w:rsidRPr="00E737E6" w:rsidRDefault="00E737E6" w:rsidP="00E737E6">
            <w:pPr>
              <w:spacing w:before="0" w:after="0"/>
              <w:rPr>
                <w:rFonts w:asciiTheme="minorHAnsi" w:hAnsiTheme="minorHAnsi"/>
                <w:b/>
                <w:bCs/>
                <w:sz w:val="22"/>
              </w:rPr>
            </w:pPr>
            <w:r w:rsidRPr="00E737E6">
              <w:rPr>
                <w:rFonts w:asciiTheme="minorHAnsi" w:hAnsiTheme="minorHAnsi"/>
                <w:b/>
                <w:bCs/>
                <w:sz w:val="22"/>
              </w:rPr>
              <w:t>Current Challenges</w:t>
            </w:r>
          </w:p>
        </w:tc>
        <w:tc>
          <w:tcPr>
            <w:tcW w:w="8080" w:type="dxa"/>
            <w:shd w:val="clear" w:color="auto" w:fill="F7CAAC" w:themeFill="accent2" w:themeFillTint="66"/>
          </w:tcPr>
          <w:p w14:paraId="17F5D117" w14:textId="77777777" w:rsidR="00E737E6" w:rsidRPr="00E737E6" w:rsidRDefault="00E737E6" w:rsidP="00E737E6">
            <w:pPr>
              <w:spacing w:before="0" w:after="0"/>
              <w:rPr>
                <w:rFonts w:asciiTheme="minorHAnsi" w:hAnsiTheme="minorHAnsi"/>
                <w:b/>
                <w:bCs/>
                <w:sz w:val="22"/>
              </w:rPr>
            </w:pPr>
            <w:r w:rsidRPr="00E737E6">
              <w:rPr>
                <w:rFonts w:asciiTheme="minorHAnsi" w:hAnsiTheme="minorHAnsi"/>
                <w:b/>
                <w:bCs/>
                <w:sz w:val="22"/>
              </w:rPr>
              <w:t>Impact</w:t>
            </w:r>
          </w:p>
        </w:tc>
      </w:tr>
      <w:tr w:rsidR="00E737E6" w:rsidRPr="00E737E6" w14:paraId="20BF1053" w14:textId="77777777" w:rsidTr="006C7300">
        <w:tc>
          <w:tcPr>
            <w:tcW w:w="6506" w:type="dxa"/>
            <w:gridSpan w:val="2"/>
          </w:tcPr>
          <w:p w14:paraId="0EDF122D" w14:textId="77777777" w:rsidR="00E737E6" w:rsidRPr="00E737E6" w:rsidRDefault="00E737E6" w:rsidP="00E737E6">
            <w:pPr>
              <w:spacing w:before="0" w:after="0"/>
              <w:rPr>
                <w:rFonts w:ascii="Calibri" w:hAnsi="Calibri" w:cs="Calibri"/>
                <w:sz w:val="22"/>
              </w:rPr>
            </w:pPr>
            <w:r w:rsidRPr="00E737E6">
              <w:rPr>
                <w:rFonts w:ascii="Calibri" w:hAnsi="Calibri" w:cs="Calibri"/>
                <w:sz w:val="22"/>
                <w:shd w:val="clear" w:color="auto" w:fill="FFFFFF"/>
              </w:rPr>
              <w:t>2,600 long term empty private sector homes and 60 longer term empty social rented properties</w:t>
            </w:r>
          </w:p>
        </w:tc>
        <w:tc>
          <w:tcPr>
            <w:tcW w:w="8080" w:type="dxa"/>
          </w:tcPr>
          <w:p w14:paraId="1EC90484" w14:textId="77777777" w:rsidR="00E737E6" w:rsidRPr="00E737E6" w:rsidRDefault="00E737E6" w:rsidP="00E737E6">
            <w:pPr>
              <w:spacing w:before="0" w:after="0"/>
              <w:rPr>
                <w:rFonts w:ascii="Calibri" w:hAnsi="Calibri" w:cs="Calibri"/>
                <w:color w:val="000000"/>
                <w:sz w:val="22"/>
                <w:shd w:val="clear" w:color="auto" w:fill="FFFFFF"/>
              </w:rPr>
            </w:pPr>
            <w:r w:rsidRPr="00E737E6">
              <w:rPr>
                <w:rFonts w:ascii="Calibri" w:hAnsi="Calibri" w:cs="Calibri"/>
                <w:color w:val="000000"/>
                <w:sz w:val="22"/>
                <w:shd w:val="clear" w:color="auto" w:fill="FFFFFF"/>
              </w:rPr>
              <w:t>Loss of potential housing supply, neglect and disrepair of the global housing stock </w:t>
            </w:r>
          </w:p>
        </w:tc>
      </w:tr>
      <w:tr w:rsidR="00E737E6" w:rsidRPr="00E737E6" w14:paraId="4C7D61C3" w14:textId="77777777" w:rsidTr="006C7300">
        <w:tc>
          <w:tcPr>
            <w:tcW w:w="6506" w:type="dxa"/>
            <w:gridSpan w:val="2"/>
          </w:tcPr>
          <w:p w14:paraId="5CE207DB" w14:textId="77777777" w:rsidR="00E737E6" w:rsidRPr="00E737E6" w:rsidRDefault="00E737E6" w:rsidP="00E737E6">
            <w:pPr>
              <w:spacing w:before="0" w:after="0"/>
              <w:rPr>
                <w:rFonts w:ascii="Calibri" w:hAnsi="Calibri" w:cs="Calibri"/>
                <w:sz w:val="22"/>
                <w:shd w:val="clear" w:color="auto" w:fill="FFFFFF"/>
              </w:rPr>
            </w:pPr>
            <w:r w:rsidRPr="00E737E6">
              <w:rPr>
                <w:rFonts w:ascii="Calibri" w:hAnsi="Calibri" w:cs="Calibri"/>
                <w:sz w:val="22"/>
                <w:shd w:val="clear" w:color="auto" w:fill="FFFFFF"/>
              </w:rPr>
              <w:t>Barriers to accessing homes and predicted loss of homes in the PRS</w:t>
            </w:r>
          </w:p>
        </w:tc>
        <w:tc>
          <w:tcPr>
            <w:tcW w:w="8080" w:type="dxa"/>
          </w:tcPr>
          <w:p w14:paraId="6654563D" w14:textId="77777777" w:rsidR="00E737E6" w:rsidRPr="00E737E6" w:rsidRDefault="00E737E6" w:rsidP="00E737E6">
            <w:pPr>
              <w:spacing w:before="0" w:after="0"/>
              <w:rPr>
                <w:rFonts w:ascii="Calibri" w:hAnsi="Calibri" w:cs="Calibri"/>
                <w:color w:val="000000"/>
                <w:sz w:val="22"/>
                <w:shd w:val="clear" w:color="auto" w:fill="FFFFFF"/>
              </w:rPr>
            </w:pPr>
            <w:r w:rsidRPr="00E737E6">
              <w:rPr>
                <w:rFonts w:ascii="Calibri" w:hAnsi="Calibri" w:cs="Calibri"/>
                <w:color w:val="000000"/>
                <w:sz w:val="22"/>
                <w:shd w:val="clear" w:color="auto" w:fill="FFFFFF"/>
              </w:rPr>
              <w:t>Limited housing options and affordability issues for most households</w:t>
            </w:r>
          </w:p>
        </w:tc>
      </w:tr>
      <w:tr w:rsidR="00E737E6" w:rsidRPr="00E737E6" w14:paraId="1DBD4DCC" w14:textId="77777777" w:rsidTr="006C7300">
        <w:tc>
          <w:tcPr>
            <w:tcW w:w="6506" w:type="dxa"/>
            <w:gridSpan w:val="2"/>
          </w:tcPr>
          <w:p w14:paraId="011C5C7F" w14:textId="77777777" w:rsidR="00E737E6" w:rsidRPr="00E737E6" w:rsidRDefault="00E737E6" w:rsidP="00E737E6">
            <w:pPr>
              <w:spacing w:before="0" w:after="0"/>
              <w:rPr>
                <w:rFonts w:ascii="Calibri" w:hAnsi="Calibri" w:cs="Calibri"/>
                <w:sz w:val="22"/>
                <w:shd w:val="clear" w:color="auto" w:fill="FFFFFF"/>
              </w:rPr>
            </w:pPr>
            <w:r w:rsidRPr="00E737E6">
              <w:rPr>
                <w:rFonts w:ascii="Calibri" w:hAnsi="Calibri" w:cs="Calibri"/>
                <w:sz w:val="22"/>
                <w:shd w:val="clear" w:color="auto" w:fill="FFFFFF"/>
              </w:rPr>
              <w:t>1,900 statutory homeless households waiting for a permanent home</w:t>
            </w:r>
          </w:p>
        </w:tc>
        <w:tc>
          <w:tcPr>
            <w:tcW w:w="8080" w:type="dxa"/>
          </w:tcPr>
          <w:p w14:paraId="381521C5" w14:textId="77777777" w:rsidR="00E737E6" w:rsidRPr="00E737E6" w:rsidRDefault="00E737E6" w:rsidP="00E737E6">
            <w:pPr>
              <w:spacing w:before="0" w:after="0"/>
              <w:rPr>
                <w:rFonts w:ascii="Calibri" w:hAnsi="Calibri" w:cs="Calibri"/>
                <w:color w:val="000000"/>
                <w:sz w:val="22"/>
                <w:shd w:val="clear" w:color="auto" w:fill="FFFFFF"/>
              </w:rPr>
            </w:pPr>
            <w:r w:rsidRPr="00E737E6">
              <w:rPr>
                <w:rFonts w:ascii="Calibri" w:hAnsi="Calibri" w:cs="Calibri"/>
                <w:color w:val="000000"/>
                <w:sz w:val="22"/>
                <w:shd w:val="clear" w:color="auto" w:fill="FFFFFF"/>
              </w:rPr>
              <w:t>Increased temporary accommodation provision, households waiting for longer in transitional settings, Increased costs for unsuitable accommodation</w:t>
            </w:r>
          </w:p>
        </w:tc>
      </w:tr>
      <w:tr w:rsidR="00E737E6" w:rsidRPr="00E737E6" w14:paraId="78680610" w14:textId="77777777" w:rsidTr="006C7300">
        <w:tc>
          <w:tcPr>
            <w:tcW w:w="14586" w:type="dxa"/>
            <w:gridSpan w:val="3"/>
            <w:shd w:val="clear" w:color="auto" w:fill="F7CAAC" w:themeFill="accent2" w:themeFillTint="66"/>
          </w:tcPr>
          <w:p w14:paraId="025E5824" w14:textId="77777777" w:rsidR="00E737E6" w:rsidRPr="00E737E6" w:rsidRDefault="00E737E6" w:rsidP="00E737E6">
            <w:pPr>
              <w:spacing w:before="0" w:after="0"/>
              <w:rPr>
                <w:rFonts w:asciiTheme="minorHAnsi" w:hAnsiTheme="minorHAnsi"/>
                <w:b/>
                <w:bCs/>
                <w:sz w:val="22"/>
              </w:rPr>
            </w:pPr>
            <w:r w:rsidRPr="00E737E6">
              <w:rPr>
                <w:rFonts w:asciiTheme="minorHAnsi" w:hAnsiTheme="minorHAnsi"/>
                <w:b/>
                <w:bCs/>
                <w:sz w:val="22"/>
              </w:rPr>
              <w:t xml:space="preserve">Key Outcome: </w:t>
            </w:r>
            <w:r w:rsidRPr="00E737E6">
              <w:rPr>
                <w:rFonts w:asciiTheme="minorHAnsi" w:hAnsiTheme="minorHAnsi"/>
                <w:i/>
                <w:iCs/>
                <w:sz w:val="22"/>
              </w:rPr>
              <w:t>Improving engagement with the Private Sector and improved use of Public Sector properties</w:t>
            </w:r>
          </w:p>
        </w:tc>
      </w:tr>
      <w:tr w:rsidR="00E737E6" w:rsidRPr="00E737E6" w14:paraId="053290C1" w14:textId="77777777" w:rsidTr="006C7300">
        <w:trPr>
          <w:trHeight w:val="360"/>
        </w:trPr>
        <w:tc>
          <w:tcPr>
            <w:tcW w:w="14586" w:type="dxa"/>
            <w:gridSpan w:val="3"/>
            <w:shd w:val="clear" w:color="auto" w:fill="F7CAAC" w:themeFill="accent2" w:themeFillTint="66"/>
          </w:tcPr>
          <w:p w14:paraId="49BD7B5E" w14:textId="77777777" w:rsidR="00E737E6" w:rsidRPr="00E737E6" w:rsidRDefault="00E737E6" w:rsidP="00E737E6">
            <w:pPr>
              <w:spacing w:before="0" w:after="0"/>
              <w:rPr>
                <w:rFonts w:asciiTheme="minorHAnsi" w:hAnsiTheme="minorHAnsi"/>
                <w:b/>
                <w:bCs/>
                <w:sz w:val="22"/>
              </w:rPr>
            </w:pPr>
            <w:r w:rsidRPr="00E737E6">
              <w:rPr>
                <w:rFonts w:asciiTheme="minorHAnsi" w:hAnsiTheme="minorHAnsi"/>
                <w:b/>
                <w:bCs/>
                <w:sz w:val="22"/>
              </w:rPr>
              <w:t>Improvement actions to be scoped, costed and considered with partners/stakeholders</w:t>
            </w:r>
          </w:p>
        </w:tc>
      </w:tr>
      <w:tr w:rsidR="00E737E6" w:rsidRPr="00E737E6" w14:paraId="70437817" w14:textId="77777777" w:rsidTr="006C7300">
        <w:trPr>
          <w:trHeight w:val="210"/>
        </w:trPr>
        <w:tc>
          <w:tcPr>
            <w:tcW w:w="1125" w:type="dxa"/>
            <w:vMerge w:val="restart"/>
            <w:shd w:val="clear" w:color="auto" w:fill="F7CAAC" w:themeFill="accent2" w:themeFillTint="66"/>
          </w:tcPr>
          <w:p w14:paraId="7FE7FA26" w14:textId="77777777" w:rsidR="00E737E6" w:rsidRPr="00E737E6" w:rsidRDefault="00E737E6" w:rsidP="00E737E6">
            <w:pPr>
              <w:spacing w:before="0" w:after="0"/>
              <w:rPr>
                <w:rFonts w:asciiTheme="minorHAnsi" w:hAnsiTheme="minorHAnsi"/>
                <w:b/>
                <w:bCs/>
                <w:sz w:val="22"/>
              </w:rPr>
            </w:pPr>
            <w:r w:rsidRPr="00E737E6">
              <w:rPr>
                <w:rFonts w:asciiTheme="minorHAnsi" w:hAnsiTheme="minorHAnsi"/>
                <w:b/>
                <w:bCs/>
                <w:sz w:val="22"/>
              </w:rPr>
              <w:t>2024-25</w:t>
            </w:r>
          </w:p>
        </w:tc>
        <w:tc>
          <w:tcPr>
            <w:tcW w:w="13461" w:type="dxa"/>
            <w:gridSpan w:val="2"/>
          </w:tcPr>
          <w:p w14:paraId="0174934C" w14:textId="77777777" w:rsidR="00E737E6" w:rsidRPr="00E737E6" w:rsidRDefault="00E737E6" w:rsidP="00E737E6">
            <w:pPr>
              <w:spacing w:before="0" w:after="0"/>
              <w:rPr>
                <w:rFonts w:ascii="Calibri" w:hAnsi="Calibri" w:cs="Calibri"/>
                <w:color w:val="000000"/>
                <w:sz w:val="22"/>
                <w:shd w:val="clear" w:color="auto" w:fill="FFFFFF"/>
              </w:rPr>
            </w:pPr>
            <w:r w:rsidRPr="00E737E6">
              <w:rPr>
                <w:rFonts w:ascii="Calibri" w:hAnsi="Calibri" w:cs="Calibri"/>
                <w:color w:val="000000"/>
                <w:sz w:val="22"/>
                <w:shd w:val="clear" w:color="auto" w:fill="FFFFFF"/>
              </w:rPr>
              <w:t>Promote Allocations Policy flexibilities and enhanced Transfer Incentive Scheme linked to the review of the Housing Allocations approach by December 2024</w:t>
            </w:r>
          </w:p>
        </w:tc>
      </w:tr>
      <w:tr w:rsidR="00E737E6" w:rsidRPr="00E737E6" w14:paraId="30037DE5" w14:textId="77777777" w:rsidTr="006C7300">
        <w:trPr>
          <w:trHeight w:val="199"/>
        </w:trPr>
        <w:tc>
          <w:tcPr>
            <w:tcW w:w="1125" w:type="dxa"/>
            <w:vMerge/>
          </w:tcPr>
          <w:p w14:paraId="6762EE02" w14:textId="77777777" w:rsidR="00E737E6" w:rsidRPr="00E737E6" w:rsidRDefault="00E737E6" w:rsidP="00E737E6">
            <w:pPr>
              <w:spacing w:before="0" w:after="0"/>
              <w:rPr>
                <w:rFonts w:asciiTheme="minorHAnsi" w:hAnsiTheme="minorHAnsi"/>
                <w:b/>
                <w:bCs/>
                <w:sz w:val="22"/>
              </w:rPr>
            </w:pPr>
          </w:p>
        </w:tc>
        <w:tc>
          <w:tcPr>
            <w:tcW w:w="13461" w:type="dxa"/>
            <w:gridSpan w:val="2"/>
          </w:tcPr>
          <w:p w14:paraId="5951BE6F" w14:textId="77777777" w:rsidR="00E737E6" w:rsidRPr="00E737E6" w:rsidRDefault="00E737E6" w:rsidP="00E737E6">
            <w:pPr>
              <w:spacing w:before="0" w:after="0"/>
              <w:rPr>
                <w:rFonts w:ascii="Calibri" w:hAnsi="Calibri" w:cs="Calibri"/>
                <w:color w:val="000000"/>
                <w:sz w:val="22"/>
                <w:shd w:val="clear" w:color="auto" w:fill="FFFFFF"/>
              </w:rPr>
            </w:pPr>
            <w:r w:rsidRPr="00E737E6">
              <w:rPr>
                <w:rFonts w:asciiTheme="minorHAnsi" w:hAnsiTheme="minorHAnsi"/>
                <w:sz w:val="22"/>
              </w:rPr>
              <w:t>Enhance approaches to address condensation, dampness and mould within social rented sector by October 2024</w:t>
            </w:r>
          </w:p>
        </w:tc>
      </w:tr>
      <w:tr w:rsidR="00E737E6" w:rsidRPr="00E737E6" w14:paraId="088FBADE" w14:textId="77777777" w:rsidTr="006C7300">
        <w:trPr>
          <w:trHeight w:val="318"/>
        </w:trPr>
        <w:tc>
          <w:tcPr>
            <w:tcW w:w="1125" w:type="dxa"/>
            <w:vMerge/>
          </w:tcPr>
          <w:p w14:paraId="11017E4E" w14:textId="77777777" w:rsidR="00E737E6" w:rsidRPr="00E737E6" w:rsidRDefault="00E737E6" w:rsidP="00E737E6">
            <w:pPr>
              <w:spacing w:before="0" w:after="0"/>
              <w:rPr>
                <w:rFonts w:asciiTheme="minorHAnsi" w:hAnsiTheme="minorHAnsi"/>
                <w:b/>
                <w:bCs/>
                <w:sz w:val="22"/>
              </w:rPr>
            </w:pPr>
          </w:p>
        </w:tc>
        <w:tc>
          <w:tcPr>
            <w:tcW w:w="13461" w:type="dxa"/>
            <w:gridSpan w:val="2"/>
          </w:tcPr>
          <w:p w14:paraId="01572E16" w14:textId="77777777" w:rsidR="00E737E6" w:rsidRPr="00E737E6" w:rsidRDefault="00E737E6" w:rsidP="00E737E6">
            <w:pPr>
              <w:spacing w:before="0" w:after="0"/>
              <w:rPr>
                <w:rFonts w:asciiTheme="minorHAnsi" w:hAnsiTheme="minorHAnsi"/>
                <w:sz w:val="22"/>
              </w:rPr>
            </w:pPr>
            <w:r w:rsidRPr="00E737E6">
              <w:rPr>
                <w:rFonts w:asciiTheme="minorHAnsi" w:hAnsiTheme="minorHAnsi"/>
                <w:sz w:val="22"/>
              </w:rPr>
              <w:t>Enhance the approach and applications of SMART technology (Sensors) to support effective housing management by March 2025</w:t>
            </w:r>
          </w:p>
        </w:tc>
      </w:tr>
      <w:tr w:rsidR="00E737E6" w:rsidRPr="00E737E6" w14:paraId="67D951B0" w14:textId="77777777" w:rsidTr="006C7300">
        <w:trPr>
          <w:trHeight w:val="360"/>
        </w:trPr>
        <w:tc>
          <w:tcPr>
            <w:tcW w:w="1125" w:type="dxa"/>
            <w:vMerge/>
          </w:tcPr>
          <w:p w14:paraId="0D0084F5" w14:textId="77777777" w:rsidR="00E737E6" w:rsidRPr="00E737E6" w:rsidRDefault="00E737E6" w:rsidP="00E737E6">
            <w:pPr>
              <w:spacing w:before="0" w:after="0"/>
              <w:rPr>
                <w:rFonts w:asciiTheme="minorHAnsi" w:hAnsiTheme="minorHAnsi"/>
                <w:b/>
                <w:bCs/>
                <w:sz w:val="22"/>
              </w:rPr>
            </w:pPr>
          </w:p>
        </w:tc>
        <w:tc>
          <w:tcPr>
            <w:tcW w:w="13461" w:type="dxa"/>
            <w:gridSpan w:val="2"/>
          </w:tcPr>
          <w:p w14:paraId="67F973B8" w14:textId="77777777" w:rsidR="00E737E6" w:rsidRPr="00E737E6" w:rsidRDefault="00E737E6" w:rsidP="00E737E6">
            <w:pPr>
              <w:spacing w:before="0" w:after="0"/>
              <w:rPr>
                <w:rFonts w:ascii="Calibri" w:hAnsi="Calibri" w:cs="Calibri"/>
                <w:sz w:val="22"/>
              </w:rPr>
            </w:pPr>
            <w:r w:rsidRPr="00E737E6">
              <w:rPr>
                <w:rFonts w:ascii="Calibri" w:hAnsi="Calibri" w:cs="Calibri"/>
                <w:sz w:val="22"/>
                <w:shd w:val="clear" w:color="auto" w:fill="FFFFFF"/>
              </w:rPr>
              <w:t>Accelerate the reduction of private sector empty homes by increasing stakeholder engagement and piloting approaches through a new Long Term Empty Homes Strategy by December 2024</w:t>
            </w:r>
          </w:p>
        </w:tc>
      </w:tr>
      <w:tr w:rsidR="00E737E6" w:rsidRPr="00E737E6" w14:paraId="0CC93A49" w14:textId="77777777" w:rsidTr="006C7300">
        <w:trPr>
          <w:trHeight w:val="360"/>
        </w:trPr>
        <w:tc>
          <w:tcPr>
            <w:tcW w:w="1125" w:type="dxa"/>
            <w:vMerge/>
          </w:tcPr>
          <w:p w14:paraId="171FCE6B" w14:textId="77777777" w:rsidR="00E737E6" w:rsidRPr="00E737E6" w:rsidRDefault="00E737E6" w:rsidP="00E737E6">
            <w:pPr>
              <w:spacing w:before="0" w:after="0"/>
              <w:rPr>
                <w:rFonts w:asciiTheme="minorHAnsi" w:hAnsiTheme="minorHAnsi"/>
                <w:b/>
                <w:bCs/>
                <w:sz w:val="22"/>
              </w:rPr>
            </w:pPr>
          </w:p>
        </w:tc>
        <w:tc>
          <w:tcPr>
            <w:tcW w:w="13461" w:type="dxa"/>
            <w:gridSpan w:val="2"/>
          </w:tcPr>
          <w:p w14:paraId="3A3E8D8D" w14:textId="77777777" w:rsidR="00E737E6" w:rsidRPr="00E737E6" w:rsidRDefault="00E737E6" w:rsidP="00E737E6">
            <w:pPr>
              <w:spacing w:before="0" w:after="0"/>
              <w:rPr>
                <w:rFonts w:ascii="Calibri" w:hAnsi="Calibri" w:cs="Calibri"/>
                <w:sz w:val="22"/>
                <w:shd w:val="clear" w:color="auto" w:fill="FFFFFF"/>
              </w:rPr>
            </w:pPr>
            <w:r w:rsidRPr="00E737E6">
              <w:rPr>
                <w:rFonts w:ascii="Calibri" w:hAnsi="Calibri" w:cs="Calibri"/>
                <w:sz w:val="22"/>
                <w:shd w:val="clear" w:color="auto" w:fill="FFFFFF"/>
              </w:rPr>
              <w:t>Develop and approach to promote preventative action to ensure owners/tenants can remain in private sector homes through enhanced equipment and adaptation services, housing support or other measures by December 2024</w:t>
            </w:r>
          </w:p>
        </w:tc>
      </w:tr>
      <w:tr w:rsidR="00E737E6" w:rsidRPr="00E737E6" w14:paraId="01B5C0BF" w14:textId="77777777" w:rsidTr="006C7300">
        <w:trPr>
          <w:trHeight w:val="247"/>
        </w:trPr>
        <w:tc>
          <w:tcPr>
            <w:tcW w:w="1125" w:type="dxa"/>
            <w:vMerge/>
          </w:tcPr>
          <w:p w14:paraId="1ECDB0C1" w14:textId="77777777" w:rsidR="00E737E6" w:rsidRPr="00E737E6" w:rsidRDefault="00E737E6" w:rsidP="00E737E6">
            <w:pPr>
              <w:spacing w:before="0" w:after="0"/>
              <w:rPr>
                <w:rFonts w:asciiTheme="minorHAnsi" w:hAnsiTheme="minorHAnsi"/>
                <w:b/>
                <w:bCs/>
                <w:sz w:val="22"/>
              </w:rPr>
            </w:pPr>
          </w:p>
        </w:tc>
        <w:tc>
          <w:tcPr>
            <w:tcW w:w="13461" w:type="dxa"/>
            <w:gridSpan w:val="2"/>
          </w:tcPr>
          <w:p w14:paraId="5402925C" w14:textId="77777777" w:rsidR="00E737E6" w:rsidRPr="00E737E6" w:rsidRDefault="00E737E6" w:rsidP="00E737E6">
            <w:pPr>
              <w:spacing w:before="0" w:after="0"/>
              <w:rPr>
                <w:rFonts w:asciiTheme="minorHAnsi" w:hAnsiTheme="minorHAnsi"/>
                <w:sz w:val="22"/>
                <w:shd w:val="clear" w:color="auto" w:fill="FFFFFF"/>
              </w:rPr>
            </w:pPr>
            <w:r w:rsidRPr="00E737E6">
              <w:rPr>
                <w:rFonts w:asciiTheme="minorHAnsi" w:hAnsiTheme="minorHAnsi"/>
                <w:sz w:val="22"/>
              </w:rPr>
              <w:t>Improve change of tenancy timescales for all social rented sector voids with a focus on longer term voids by March 2025</w:t>
            </w:r>
          </w:p>
        </w:tc>
      </w:tr>
      <w:tr w:rsidR="00E737E6" w:rsidRPr="00E737E6" w14:paraId="19D081A2" w14:textId="77777777" w:rsidTr="006C7300">
        <w:trPr>
          <w:trHeight w:val="200"/>
        </w:trPr>
        <w:tc>
          <w:tcPr>
            <w:tcW w:w="1125" w:type="dxa"/>
            <w:shd w:val="clear" w:color="auto" w:fill="F7CAAC" w:themeFill="accent2" w:themeFillTint="66"/>
          </w:tcPr>
          <w:p w14:paraId="34B01363" w14:textId="77777777" w:rsidR="00E737E6" w:rsidRPr="00E737E6" w:rsidRDefault="00E737E6" w:rsidP="00E737E6">
            <w:pPr>
              <w:spacing w:before="0" w:after="0"/>
              <w:rPr>
                <w:rFonts w:asciiTheme="minorHAnsi" w:hAnsiTheme="minorHAnsi"/>
                <w:b/>
                <w:bCs/>
                <w:sz w:val="22"/>
              </w:rPr>
            </w:pPr>
            <w:r w:rsidRPr="00E737E6">
              <w:rPr>
                <w:rFonts w:asciiTheme="minorHAnsi" w:hAnsiTheme="minorHAnsi"/>
                <w:b/>
                <w:bCs/>
                <w:sz w:val="22"/>
              </w:rPr>
              <w:t>2025-27</w:t>
            </w:r>
          </w:p>
        </w:tc>
        <w:tc>
          <w:tcPr>
            <w:tcW w:w="13461" w:type="dxa"/>
            <w:gridSpan w:val="2"/>
          </w:tcPr>
          <w:p w14:paraId="61E4990D" w14:textId="77777777" w:rsidR="00E737E6" w:rsidRPr="00E737E6" w:rsidRDefault="00E737E6" w:rsidP="00E737E6">
            <w:pPr>
              <w:spacing w:before="0" w:after="0"/>
              <w:rPr>
                <w:rFonts w:ascii="Calibri" w:hAnsi="Calibri" w:cs="Calibri"/>
                <w:sz w:val="22"/>
              </w:rPr>
            </w:pPr>
            <w:r w:rsidRPr="00E737E6">
              <w:rPr>
                <w:rFonts w:ascii="Calibri" w:hAnsi="Calibri" w:cs="Calibri"/>
                <w:sz w:val="22"/>
                <w:shd w:val="clear" w:color="auto" w:fill="FFFFFF"/>
              </w:rPr>
              <w:t>Re-provision harder to let retirement/specialist properties to mainstream let</w:t>
            </w:r>
          </w:p>
        </w:tc>
      </w:tr>
    </w:tbl>
    <w:p w14:paraId="6F09EBA1" w14:textId="77777777" w:rsidR="00E737E6" w:rsidRPr="00E737E6" w:rsidRDefault="00E737E6" w:rsidP="00E737E6">
      <w:pPr>
        <w:spacing w:before="0" w:after="0" w:line="259" w:lineRule="auto"/>
        <w:rPr>
          <w:rFonts w:asciiTheme="minorHAnsi" w:eastAsiaTheme="minorHAnsi" w:hAnsiTheme="minorHAnsi" w:cstheme="minorBidi"/>
          <w:kern w:val="2"/>
          <w:sz w:val="8"/>
          <w:szCs w:val="8"/>
          <w:lang w:eastAsia="en-US"/>
          <w14:ligatures w14:val="standardContextual"/>
        </w:rPr>
      </w:pPr>
    </w:p>
    <w:tbl>
      <w:tblPr>
        <w:tblStyle w:val="TableGrid1"/>
        <w:tblW w:w="1458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55"/>
        <w:gridCol w:w="5809"/>
        <w:gridCol w:w="7622"/>
      </w:tblGrid>
      <w:tr w:rsidR="00E737E6" w:rsidRPr="00E737E6" w14:paraId="50BDBA45" w14:textId="77777777" w:rsidTr="006C7300">
        <w:tc>
          <w:tcPr>
            <w:tcW w:w="14586" w:type="dxa"/>
            <w:gridSpan w:val="3"/>
            <w:shd w:val="clear" w:color="auto" w:fill="2E74B5" w:themeFill="accent5" w:themeFillShade="BF"/>
          </w:tcPr>
          <w:p w14:paraId="6AA18023" w14:textId="77777777" w:rsidR="00E737E6" w:rsidRPr="00E737E6" w:rsidRDefault="00E737E6" w:rsidP="00E737E6">
            <w:pPr>
              <w:spacing w:before="0" w:after="0"/>
              <w:rPr>
                <w:rFonts w:asciiTheme="minorHAnsi" w:hAnsiTheme="minorHAnsi"/>
                <w:b/>
                <w:bCs/>
                <w:sz w:val="22"/>
              </w:rPr>
            </w:pPr>
            <w:r w:rsidRPr="00E737E6">
              <w:rPr>
                <w:rFonts w:asciiTheme="minorHAnsi" w:hAnsiTheme="minorHAnsi"/>
                <w:b/>
                <w:bCs/>
                <w:color w:val="FFFFFF" w:themeColor="background1"/>
                <w:sz w:val="22"/>
              </w:rPr>
              <w:t>Theme 3: Enhancing housing access &amp; prevention of homelessness</w:t>
            </w:r>
          </w:p>
        </w:tc>
      </w:tr>
      <w:tr w:rsidR="00E737E6" w:rsidRPr="00E737E6" w14:paraId="240A4D2B" w14:textId="77777777" w:rsidTr="006C7300">
        <w:tc>
          <w:tcPr>
            <w:tcW w:w="14586" w:type="dxa"/>
            <w:gridSpan w:val="3"/>
          </w:tcPr>
          <w:p w14:paraId="199FD710" w14:textId="77777777" w:rsidR="00E737E6" w:rsidRPr="00E737E6" w:rsidRDefault="00E737E6" w:rsidP="00E737E6">
            <w:pPr>
              <w:spacing w:before="0" w:after="0"/>
              <w:rPr>
                <w:rFonts w:asciiTheme="minorHAnsi" w:hAnsiTheme="minorHAnsi"/>
                <w:sz w:val="22"/>
              </w:rPr>
            </w:pPr>
            <w:r w:rsidRPr="00E737E6">
              <w:rPr>
                <w:rFonts w:asciiTheme="minorHAnsi" w:hAnsiTheme="minorHAnsi"/>
                <w:sz w:val="22"/>
              </w:rPr>
              <w:t>We need to enhance housing access &amp; prevention of homelessness to reduce the number of households requiring homelessness services and eradicate the use of B&amp;B/hotel type unsuitable accommodation</w:t>
            </w:r>
          </w:p>
        </w:tc>
      </w:tr>
      <w:tr w:rsidR="00E737E6" w:rsidRPr="00E737E6" w14:paraId="5B30145D" w14:textId="77777777" w:rsidTr="006C7300">
        <w:tc>
          <w:tcPr>
            <w:tcW w:w="6964" w:type="dxa"/>
            <w:gridSpan w:val="2"/>
            <w:shd w:val="clear" w:color="auto" w:fill="BDD6EE" w:themeFill="accent5" w:themeFillTint="66"/>
          </w:tcPr>
          <w:p w14:paraId="3A3F219F" w14:textId="77777777" w:rsidR="00E737E6" w:rsidRPr="00E737E6" w:rsidRDefault="00E737E6" w:rsidP="00E737E6">
            <w:pPr>
              <w:spacing w:before="0" w:after="0"/>
              <w:rPr>
                <w:rFonts w:asciiTheme="minorHAnsi" w:hAnsiTheme="minorHAnsi"/>
                <w:b/>
                <w:bCs/>
                <w:sz w:val="22"/>
              </w:rPr>
            </w:pPr>
            <w:r w:rsidRPr="00E737E6">
              <w:rPr>
                <w:rFonts w:asciiTheme="minorHAnsi" w:hAnsiTheme="minorHAnsi"/>
                <w:b/>
                <w:bCs/>
                <w:sz w:val="22"/>
              </w:rPr>
              <w:t>Current Challenges</w:t>
            </w:r>
          </w:p>
        </w:tc>
        <w:tc>
          <w:tcPr>
            <w:tcW w:w="7622" w:type="dxa"/>
            <w:shd w:val="clear" w:color="auto" w:fill="BDD6EE" w:themeFill="accent5" w:themeFillTint="66"/>
          </w:tcPr>
          <w:p w14:paraId="22F990AD" w14:textId="77777777" w:rsidR="00E737E6" w:rsidRPr="00E737E6" w:rsidRDefault="00E737E6" w:rsidP="00E737E6">
            <w:pPr>
              <w:spacing w:before="0" w:after="0"/>
              <w:rPr>
                <w:rFonts w:asciiTheme="minorHAnsi" w:hAnsiTheme="minorHAnsi"/>
                <w:b/>
                <w:bCs/>
                <w:sz w:val="22"/>
              </w:rPr>
            </w:pPr>
            <w:r w:rsidRPr="00E737E6">
              <w:rPr>
                <w:rFonts w:asciiTheme="minorHAnsi" w:hAnsiTheme="minorHAnsi"/>
                <w:b/>
                <w:bCs/>
                <w:sz w:val="22"/>
              </w:rPr>
              <w:t>Impact</w:t>
            </w:r>
          </w:p>
        </w:tc>
      </w:tr>
      <w:tr w:rsidR="00E737E6" w:rsidRPr="00E737E6" w14:paraId="3CA976C1" w14:textId="77777777" w:rsidTr="006C7300">
        <w:tc>
          <w:tcPr>
            <w:tcW w:w="6964" w:type="dxa"/>
            <w:gridSpan w:val="2"/>
          </w:tcPr>
          <w:p w14:paraId="5E8A139E" w14:textId="77777777" w:rsidR="00E737E6" w:rsidRPr="00E737E6" w:rsidRDefault="00E737E6" w:rsidP="00E737E6">
            <w:pPr>
              <w:spacing w:before="0" w:after="0"/>
              <w:rPr>
                <w:rFonts w:asciiTheme="minorHAnsi" w:hAnsiTheme="minorHAnsi" w:cstheme="minorHAnsi"/>
                <w:sz w:val="22"/>
              </w:rPr>
            </w:pPr>
            <w:r w:rsidRPr="00E737E6">
              <w:rPr>
                <w:rFonts w:asciiTheme="minorHAnsi" w:hAnsiTheme="minorHAnsi" w:cstheme="minorHAnsi"/>
                <w:sz w:val="22"/>
              </w:rPr>
              <w:t>Statutory Duty / Unsuitable Accommodation Order breaches</w:t>
            </w:r>
          </w:p>
        </w:tc>
        <w:tc>
          <w:tcPr>
            <w:tcW w:w="7622" w:type="dxa"/>
          </w:tcPr>
          <w:p w14:paraId="721F7A73" w14:textId="77777777" w:rsidR="00E737E6" w:rsidRPr="00E737E6" w:rsidRDefault="00E737E6" w:rsidP="00E737E6">
            <w:pPr>
              <w:spacing w:before="0" w:after="0"/>
              <w:rPr>
                <w:rFonts w:asciiTheme="minorHAnsi" w:hAnsiTheme="minorHAnsi" w:cstheme="minorHAnsi"/>
                <w:sz w:val="22"/>
              </w:rPr>
            </w:pPr>
            <w:r w:rsidRPr="00E737E6">
              <w:rPr>
                <w:rFonts w:asciiTheme="minorHAnsi" w:hAnsiTheme="minorHAnsi" w:cstheme="minorHAnsi"/>
                <w:sz w:val="22"/>
              </w:rPr>
              <w:t>Not meeting statutory duties, Increased rough sleeping and hidden homelessness</w:t>
            </w:r>
          </w:p>
        </w:tc>
      </w:tr>
      <w:tr w:rsidR="00E737E6" w:rsidRPr="00E737E6" w14:paraId="36276489" w14:textId="77777777" w:rsidTr="006C7300">
        <w:tc>
          <w:tcPr>
            <w:tcW w:w="6964" w:type="dxa"/>
            <w:gridSpan w:val="2"/>
          </w:tcPr>
          <w:p w14:paraId="4C3D9005" w14:textId="77777777" w:rsidR="00E737E6" w:rsidRPr="00E737E6" w:rsidRDefault="00E737E6" w:rsidP="00E737E6">
            <w:pPr>
              <w:spacing w:before="0" w:after="0"/>
              <w:rPr>
                <w:rFonts w:asciiTheme="minorHAnsi" w:hAnsiTheme="minorHAnsi"/>
                <w:sz w:val="22"/>
              </w:rPr>
            </w:pPr>
            <w:r w:rsidRPr="00E737E6">
              <w:rPr>
                <w:rFonts w:asciiTheme="minorHAnsi" w:hAnsiTheme="minorHAnsi"/>
                <w:sz w:val="22"/>
              </w:rPr>
              <w:t>2,700 homeless applications per year with increases predicted over 2 years</w:t>
            </w:r>
          </w:p>
        </w:tc>
        <w:tc>
          <w:tcPr>
            <w:tcW w:w="7622" w:type="dxa"/>
          </w:tcPr>
          <w:p w14:paraId="70CAFBB6" w14:textId="77777777" w:rsidR="00E737E6" w:rsidRPr="00E737E6" w:rsidRDefault="00E737E6" w:rsidP="00E737E6">
            <w:pPr>
              <w:spacing w:before="0" w:after="0"/>
              <w:rPr>
                <w:rFonts w:asciiTheme="minorHAnsi" w:hAnsiTheme="minorHAnsi" w:cstheme="minorHAnsi"/>
                <w:sz w:val="22"/>
              </w:rPr>
            </w:pPr>
            <w:r w:rsidRPr="00E737E6">
              <w:rPr>
                <w:rFonts w:asciiTheme="minorHAnsi" w:hAnsiTheme="minorHAnsi" w:cstheme="minorHAnsi"/>
                <w:sz w:val="22"/>
              </w:rPr>
              <w:t>More homelessness households and increased pressures on homelessness services</w:t>
            </w:r>
          </w:p>
        </w:tc>
      </w:tr>
      <w:tr w:rsidR="00E737E6" w:rsidRPr="00E737E6" w14:paraId="4EB0D2AC" w14:textId="77777777" w:rsidTr="006C7300">
        <w:tc>
          <w:tcPr>
            <w:tcW w:w="6964" w:type="dxa"/>
            <w:gridSpan w:val="2"/>
          </w:tcPr>
          <w:p w14:paraId="2048B982" w14:textId="77777777" w:rsidR="00E737E6" w:rsidRPr="00E737E6" w:rsidRDefault="00E737E6" w:rsidP="00E737E6">
            <w:pPr>
              <w:spacing w:before="0" w:after="0"/>
              <w:rPr>
                <w:rFonts w:asciiTheme="minorHAnsi" w:hAnsiTheme="minorHAnsi" w:cstheme="minorHAnsi"/>
                <w:sz w:val="22"/>
              </w:rPr>
            </w:pPr>
            <w:r w:rsidRPr="00E737E6">
              <w:rPr>
                <w:rFonts w:asciiTheme="minorHAnsi" w:hAnsiTheme="minorHAnsi" w:cstheme="minorHAnsi"/>
                <w:sz w:val="22"/>
              </w:rPr>
              <w:t>Introduction of new legislation focussed on prevention</w:t>
            </w:r>
          </w:p>
        </w:tc>
        <w:tc>
          <w:tcPr>
            <w:tcW w:w="7622" w:type="dxa"/>
          </w:tcPr>
          <w:p w14:paraId="21016C9F" w14:textId="77777777" w:rsidR="00E737E6" w:rsidRPr="00E737E6" w:rsidRDefault="00E737E6" w:rsidP="00E737E6">
            <w:pPr>
              <w:spacing w:before="0" w:after="0"/>
              <w:rPr>
                <w:rFonts w:asciiTheme="minorHAnsi" w:hAnsiTheme="minorHAnsi" w:cstheme="minorHAnsi"/>
                <w:sz w:val="22"/>
              </w:rPr>
            </w:pPr>
            <w:r w:rsidRPr="00E737E6">
              <w:rPr>
                <w:rFonts w:asciiTheme="minorHAnsi" w:hAnsiTheme="minorHAnsi" w:cstheme="minorHAnsi"/>
                <w:sz w:val="22"/>
              </w:rPr>
              <w:t>Increased cost of crisis led services and impact on public services</w:t>
            </w:r>
          </w:p>
        </w:tc>
      </w:tr>
      <w:tr w:rsidR="00E737E6" w:rsidRPr="00E737E6" w14:paraId="66D83DA2" w14:textId="77777777" w:rsidTr="006C7300">
        <w:tc>
          <w:tcPr>
            <w:tcW w:w="6964" w:type="dxa"/>
            <w:gridSpan w:val="2"/>
          </w:tcPr>
          <w:p w14:paraId="708EF230" w14:textId="77777777" w:rsidR="00E737E6" w:rsidRPr="00E737E6" w:rsidRDefault="00E737E6" w:rsidP="00E737E6">
            <w:pPr>
              <w:spacing w:before="0" w:after="0"/>
              <w:rPr>
                <w:rFonts w:asciiTheme="minorHAnsi" w:hAnsiTheme="minorHAnsi" w:cstheme="minorHAnsi"/>
                <w:sz w:val="22"/>
              </w:rPr>
            </w:pPr>
            <w:r w:rsidRPr="00E737E6">
              <w:rPr>
                <w:rFonts w:asciiTheme="minorHAnsi" w:hAnsiTheme="minorHAnsi" w:cstheme="minorHAnsi"/>
                <w:sz w:val="22"/>
              </w:rPr>
              <w:t>Potential impact of resettlement and humanitarian schemes</w:t>
            </w:r>
          </w:p>
        </w:tc>
        <w:tc>
          <w:tcPr>
            <w:tcW w:w="7622" w:type="dxa"/>
          </w:tcPr>
          <w:p w14:paraId="36EE163F" w14:textId="77777777" w:rsidR="00E737E6" w:rsidRPr="00E737E6" w:rsidRDefault="00E737E6" w:rsidP="00E737E6">
            <w:pPr>
              <w:spacing w:before="0" w:after="0"/>
              <w:rPr>
                <w:rFonts w:asciiTheme="minorHAnsi" w:hAnsiTheme="minorHAnsi" w:cstheme="minorHAnsi"/>
                <w:sz w:val="22"/>
              </w:rPr>
            </w:pPr>
            <w:r w:rsidRPr="00E737E6">
              <w:rPr>
                <w:rFonts w:asciiTheme="minorHAnsi" w:hAnsiTheme="minorHAnsi" w:cstheme="minorHAnsi"/>
                <w:sz w:val="22"/>
              </w:rPr>
              <w:t>Demand on properties</w:t>
            </w:r>
          </w:p>
        </w:tc>
      </w:tr>
      <w:tr w:rsidR="00E737E6" w:rsidRPr="00E737E6" w14:paraId="6767C118" w14:textId="77777777" w:rsidTr="006C7300">
        <w:tc>
          <w:tcPr>
            <w:tcW w:w="14586" w:type="dxa"/>
            <w:gridSpan w:val="3"/>
            <w:shd w:val="clear" w:color="auto" w:fill="BDD6EE" w:themeFill="accent5" w:themeFillTint="66"/>
          </w:tcPr>
          <w:p w14:paraId="10C16C63" w14:textId="77777777" w:rsidR="00E737E6" w:rsidRPr="00E737E6" w:rsidRDefault="00E737E6" w:rsidP="00E737E6">
            <w:pPr>
              <w:spacing w:before="0" w:after="0"/>
              <w:rPr>
                <w:rFonts w:asciiTheme="minorHAnsi" w:hAnsiTheme="minorHAnsi"/>
                <w:b/>
                <w:bCs/>
                <w:sz w:val="22"/>
              </w:rPr>
            </w:pPr>
            <w:r w:rsidRPr="00E737E6">
              <w:rPr>
                <w:rFonts w:asciiTheme="minorHAnsi" w:hAnsiTheme="minorHAnsi" w:cstheme="minorHAnsi"/>
                <w:b/>
                <w:bCs/>
                <w:sz w:val="22"/>
              </w:rPr>
              <w:t xml:space="preserve">Key Outcomes: </w:t>
            </w:r>
            <w:r w:rsidRPr="00E737E6">
              <w:rPr>
                <w:rFonts w:asciiTheme="minorHAnsi" w:hAnsiTheme="minorHAnsi" w:cstheme="minorHAnsi"/>
                <w:i/>
                <w:iCs/>
                <w:sz w:val="22"/>
              </w:rPr>
              <w:t>Reducing homeless presentations and improving sustainment tenures</w:t>
            </w:r>
          </w:p>
        </w:tc>
      </w:tr>
      <w:tr w:rsidR="00E737E6" w:rsidRPr="00E737E6" w14:paraId="2B6E01F1" w14:textId="77777777" w:rsidTr="006C7300">
        <w:trPr>
          <w:trHeight w:val="360"/>
        </w:trPr>
        <w:tc>
          <w:tcPr>
            <w:tcW w:w="14586" w:type="dxa"/>
            <w:gridSpan w:val="3"/>
            <w:shd w:val="clear" w:color="auto" w:fill="BDD6EE" w:themeFill="accent5" w:themeFillTint="66"/>
          </w:tcPr>
          <w:p w14:paraId="1267993A" w14:textId="77777777" w:rsidR="00E737E6" w:rsidRPr="00E737E6" w:rsidRDefault="00E737E6" w:rsidP="00E737E6">
            <w:pPr>
              <w:spacing w:before="0" w:after="0"/>
              <w:rPr>
                <w:rFonts w:asciiTheme="minorHAnsi" w:hAnsiTheme="minorHAnsi" w:cstheme="minorHAnsi"/>
                <w:b/>
                <w:bCs/>
                <w:sz w:val="22"/>
              </w:rPr>
            </w:pPr>
            <w:r w:rsidRPr="00E737E6">
              <w:rPr>
                <w:rFonts w:asciiTheme="minorHAnsi" w:hAnsiTheme="minorHAnsi" w:cstheme="minorHAnsi"/>
                <w:b/>
                <w:bCs/>
                <w:sz w:val="22"/>
              </w:rPr>
              <w:t>Improvement actions to be scoped, costed and considered with partners/stakeholders</w:t>
            </w:r>
          </w:p>
        </w:tc>
      </w:tr>
      <w:tr w:rsidR="00E737E6" w:rsidRPr="00E737E6" w14:paraId="4A0F920B" w14:textId="77777777" w:rsidTr="006C7300">
        <w:trPr>
          <w:trHeight w:val="215"/>
        </w:trPr>
        <w:tc>
          <w:tcPr>
            <w:tcW w:w="1155" w:type="dxa"/>
            <w:vMerge w:val="restart"/>
            <w:shd w:val="clear" w:color="auto" w:fill="BDD6EE" w:themeFill="accent5" w:themeFillTint="66"/>
          </w:tcPr>
          <w:p w14:paraId="364D330C" w14:textId="77777777" w:rsidR="00E737E6" w:rsidRPr="00E737E6" w:rsidRDefault="00E737E6" w:rsidP="00E737E6">
            <w:pPr>
              <w:spacing w:before="0" w:after="0"/>
              <w:rPr>
                <w:rFonts w:asciiTheme="minorHAnsi" w:hAnsiTheme="minorHAnsi" w:cstheme="minorHAnsi"/>
                <w:b/>
                <w:bCs/>
                <w:sz w:val="22"/>
              </w:rPr>
            </w:pPr>
            <w:r w:rsidRPr="00E737E6">
              <w:rPr>
                <w:rFonts w:asciiTheme="minorHAnsi" w:hAnsiTheme="minorHAnsi" w:cstheme="minorHAnsi"/>
                <w:b/>
                <w:bCs/>
                <w:sz w:val="22"/>
              </w:rPr>
              <w:t>2024-25</w:t>
            </w:r>
          </w:p>
        </w:tc>
        <w:tc>
          <w:tcPr>
            <w:tcW w:w="13431" w:type="dxa"/>
            <w:gridSpan w:val="2"/>
          </w:tcPr>
          <w:p w14:paraId="4AAC2B8D" w14:textId="77777777" w:rsidR="00E737E6" w:rsidRPr="00E737E6" w:rsidRDefault="00E737E6" w:rsidP="00E737E6">
            <w:pPr>
              <w:spacing w:before="0" w:after="0"/>
              <w:rPr>
                <w:rFonts w:asciiTheme="minorHAnsi" w:hAnsiTheme="minorHAnsi"/>
                <w:sz w:val="22"/>
                <w:shd w:val="clear" w:color="auto" w:fill="FFFFFF"/>
              </w:rPr>
            </w:pPr>
            <w:r w:rsidRPr="00E737E6">
              <w:rPr>
                <w:rFonts w:asciiTheme="minorHAnsi" w:hAnsiTheme="minorHAnsi"/>
                <w:sz w:val="22"/>
                <w:shd w:val="clear" w:color="auto" w:fill="FFFFFF"/>
              </w:rPr>
              <w:t>Complete the work of the Allocations Task &amp; Finish Group to improve the balance of supply and demand by December 2024</w:t>
            </w:r>
          </w:p>
        </w:tc>
      </w:tr>
      <w:tr w:rsidR="00E737E6" w:rsidRPr="00E737E6" w14:paraId="53223837" w14:textId="77777777" w:rsidTr="006C7300">
        <w:trPr>
          <w:trHeight w:val="248"/>
        </w:trPr>
        <w:tc>
          <w:tcPr>
            <w:tcW w:w="1155" w:type="dxa"/>
            <w:vMerge/>
          </w:tcPr>
          <w:p w14:paraId="52629752" w14:textId="77777777" w:rsidR="00E737E6" w:rsidRPr="00E737E6" w:rsidRDefault="00E737E6" w:rsidP="00E737E6">
            <w:pPr>
              <w:spacing w:before="0" w:after="0"/>
              <w:rPr>
                <w:rFonts w:asciiTheme="minorHAnsi" w:hAnsiTheme="minorHAnsi" w:cstheme="minorHAnsi"/>
                <w:b/>
                <w:bCs/>
                <w:sz w:val="22"/>
              </w:rPr>
            </w:pPr>
          </w:p>
        </w:tc>
        <w:tc>
          <w:tcPr>
            <w:tcW w:w="13431" w:type="dxa"/>
            <w:gridSpan w:val="2"/>
          </w:tcPr>
          <w:p w14:paraId="2B541123" w14:textId="77777777" w:rsidR="00E737E6" w:rsidRPr="00E737E6" w:rsidRDefault="00E737E6" w:rsidP="00E737E6">
            <w:pPr>
              <w:spacing w:before="0" w:after="0"/>
              <w:rPr>
                <w:rFonts w:asciiTheme="minorHAnsi" w:hAnsiTheme="minorHAnsi" w:cstheme="minorHAnsi"/>
                <w:color w:val="000000"/>
                <w:sz w:val="22"/>
                <w:shd w:val="clear" w:color="auto" w:fill="FFFFFF"/>
              </w:rPr>
            </w:pPr>
            <w:r w:rsidRPr="00E737E6">
              <w:rPr>
                <w:rFonts w:asciiTheme="minorHAnsi" w:hAnsiTheme="minorHAnsi" w:cstheme="minorHAnsi"/>
                <w:color w:val="000000"/>
                <w:sz w:val="22"/>
                <w:shd w:val="clear" w:color="auto" w:fill="FFFFFF"/>
              </w:rPr>
              <w:t>Embed a prevention focus into the review of the Allocations Approach and Systems Review focussing on housing options and advice by March 2025</w:t>
            </w:r>
          </w:p>
        </w:tc>
      </w:tr>
      <w:tr w:rsidR="00E737E6" w:rsidRPr="00E737E6" w14:paraId="6D29C347" w14:textId="77777777" w:rsidTr="006C7300">
        <w:trPr>
          <w:trHeight w:val="223"/>
        </w:trPr>
        <w:tc>
          <w:tcPr>
            <w:tcW w:w="1155" w:type="dxa"/>
            <w:vMerge/>
          </w:tcPr>
          <w:p w14:paraId="62D38147" w14:textId="77777777" w:rsidR="00E737E6" w:rsidRPr="00E737E6" w:rsidRDefault="00E737E6" w:rsidP="00E737E6">
            <w:pPr>
              <w:spacing w:before="0" w:after="0"/>
              <w:rPr>
                <w:rFonts w:asciiTheme="minorHAnsi" w:hAnsiTheme="minorHAnsi" w:cstheme="minorHAnsi"/>
                <w:b/>
                <w:bCs/>
                <w:sz w:val="22"/>
              </w:rPr>
            </w:pPr>
          </w:p>
        </w:tc>
        <w:tc>
          <w:tcPr>
            <w:tcW w:w="13431" w:type="dxa"/>
            <w:gridSpan w:val="2"/>
          </w:tcPr>
          <w:p w14:paraId="67135ED3" w14:textId="77777777" w:rsidR="00E737E6" w:rsidRPr="00E737E6" w:rsidRDefault="00E737E6" w:rsidP="00E737E6">
            <w:pPr>
              <w:spacing w:before="0" w:after="0"/>
              <w:rPr>
                <w:rFonts w:asciiTheme="minorHAnsi" w:hAnsiTheme="minorHAnsi" w:cstheme="minorHAnsi"/>
                <w:sz w:val="22"/>
              </w:rPr>
            </w:pPr>
            <w:r w:rsidRPr="00E737E6">
              <w:rPr>
                <w:rFonts w:asciiTheme="minorHAnsi" w:hAnsiTheme="minorHAnsi" w:cstheme="minorHAnsi"/>
                <w:color w:val="000000"/>
                <w:sz w:val="22"/>
                <w:shd w:val="clear" w:color="auto" w:fill="FFFFFF"/>
              </w:rPr>
              <w:t>Design and deliver a dynamic Public Engagement campaign focussed on the realities of homelessness and housing need until 2027</w:t>
            </w:r>
          </w:p>
        </w:tc>
      </w:tr>
      <w:tr w:rsidR="00E737E6" w:rsidRPr="00E737E6" w14:paraId="590A7790" w14:textId="77777777" w:rsidTr="006C7300">
        <w:trPr>
          <w:trHeight w:val="228"/>
        </w:trPr>
        <w:tc>
          <w:tcPr>
            <w:tcW w:w="1155" w:type="dxa"/>
            <w:vMerge/>
          </w:tcPr>
          <w:p w14:paraId="763579F1" w14:textId="77777777" w:rsidR="00E737E6" w:rsidRPr="00E737E6" w:rsidRDefault="00E737E6" w:rsidP="00E737E6">
            <w:pPr>
              <w:spacing w:before="0" w:after="0"/>
              <w:rPr>
                <w:rFonts w:asciiTheme="minorHAnsi" w:hAnsiTheme="minorHAnsi" w:cstheme="minorHAnsi"/>
                <w:b/>
                <w:bCs/>
                <w:sz w:val="22"/>
              </w:rPr>
            </w:pPr>
          </w:p>
        </w:tc>
        <w:tc>
          <w:tcPr>
            <w:tcW w:w="13431" w:type="dxa"/>
            <w:gridSpan w:val="2"/>
          </w:tcPr>
          <w:p w14:paraId="7C941C31" w14:textId="77777777" w:rsidR="00E737E6" w:rsidRPr="00E737E6" w:rsidRDefault="00E737E6" w:rsidP="00E737E6">
            <w:pPr>
              <w:spacing w:before="0" w:after="0"/>
              <w:rPr>
                <w:rFonts w:asciiTheme="minorHAnsi" w:hAnsiTheme="minorHAnsi" w:cstheme="minorHAnsi"/>
                <w:sz w:val="22"/>
              </w:rPr>
            </w:pPr>
            <w:r w:rsidRPr="00E737E6">
              <w:rPr>
                <w:rFonts w:asciiTheme="minorHAnsi" w:hAnsiTheme="minorHAnsi" w:cstheme="minorHAnsi"/>
                <w:sz w:val="22"/>
              </w:rPr>
              <w:t>Develop a scheme to manage 1</w:t>
            </w:r>
            <w:r w:rsidRPr="00E737E6">
              <w:rPr>
                <w:rFonts w:asciiTheme="minorHAnsi" w:hAnsiTheme="minorHAnsi"/>
                <w:sz w:val="22"/>
              </w:rPr>
              <w:t xml:space="preserve">00 </w:t>
            </w:r>
            <w:r w:rsidRPr="00E737E6">
              <w:rPr>
                <w:rFonts w:asciiTheme="minorHAnsi" w:hAnsiTheme="minorHAnsi" w:cstheme="minorHAnsi"/>
                <w:sz w:val="22"/>
              </w:rPr>
              <w:t>Private Sector Leased properties to r</w:t>
            </w:r>
            <w:r w:rsidRPr="00E737E6">
              <w:rPr>
                <w:rFonts w:asciiTheme="minorHAnsi" w:hAnsiTheme="minorHAnsi"/>
                <w:sz w:val="22"/>
              </w:rPr>
              <w:t>elease properties back to the allocation pool by April 2025</w:t>
            </w:r>
          </w:p>
        </w:tc>
      </w:tr>
      <w:tr w:rsidR="00E737E6" w:rsidRPr="00E737E6" w14:paraId="6E1FFFDA" w14:textId="77777777" w:rsidTr="006C7300">
        <w:trPr>
          <w:trHeight w:val="203"/>
        </w:trPr>
        <w:tc>
          <w:tcPr>
            <w:tcW w:w="1155" w:type="dxa"/>
            <w:vMerge/>
          </w:tcPr>
          <w:p w14:paraId="0199C195" w14:textId="77777777" w:rsidR="00E737E6" w:rsidRPr="00E737E6" w:rsidRDefault="00E737E6" w:rsidP="00E737E6">
            <w:pPr>
              <w:spacing w:before="0" w:after="0"/>
              <w:rPr>
                <w:rFonts w:asciiTheme="minorHAnsi" w:hAnsiTheme="minorHAnsi" w:cstheme="minorHAnsi"/>
                <w:b/>
                <w:bCs/>
                <w:sz w:val="22"/>
              </w:rPr>
            </w:pPr>
          </w:p>
        </w:tc>
        <w:tc>
          <w:tcPr>
            <w:tcW w:w="13431" w:type="dxa"/>
            <w:gridSpan w:val="2"/>
          </w:tcPr>
          <w:p w14:paraId="02A424AF" w14:textId="77777777" w:rsidR="00E737E6" w:rsidRPr="00E737E6" w:rsidRDefault="00E737E6" w:rsidP="00E737E6">
            <w:pPr>
              <w:spacing w:before="0" w:after="0"/>
              <w:rPr>
                <w:rFonts w:asciiTheme="minorHAnsi" w:hAnsiTheme="minorHAnsi"/>
                <w:sz w:val="22"/>
              </w:rPr>
            </w:pPr>
            <w:r w:rsidRPr="00E737E6">
              <w:rPr>
                <w:rFonts w:asciiTheme="minorHAnsi" w:hAnsiTheme="minorHAnsi"/>
                <w:sz w:val="22"/>
              </w:rPr>
              <w:t>Develop and upscale the Whole System Approach project to improve services to those facing household vulnerabilities and homelessness. Completing a first phase by December 2024</w:t>
            </w:r>
          </w:p>
        </w:tc>
      </w:tr>
      <w:tr w:rsidR="00E737E6" w:rsidRPr="00E737E6" w14:paraId="5E5BBB56" w14:textId="77777777" w:rsidTr="006C7300">
        <w:trPr>
          <w:trHeight w:val="194"/>
        </w:trPr>
        <w:tc>
          <w:tcPr>
            <w:tcW w:w="1155" w:type="dxa"/>
            <w:vMerge/>
          </w:tcPr>
          <w:p w14:paraId="5CA72EF6" w14:textId="77777777" w:rsidR="00E737E6" w:rsidRPr="00E737E6" w:rsidRDefault="00E737E6" w:rsidP="00E737E6">
            <w:pPr>
              <w:spacing w:before="0" w:after="0"/>
              <w:rPr>
                <w:rFonts w:asciiTheme="minorHAnsi" w:hAnsiTheme="minorHAnsi" w:cstheme="minorHAnsi"/>
                <w:b/>
                <w:bCs/>
                <w:sz w:val="22"/>
              </w:rPr>
            </w:pPr>
          </w:p>
        </w:tc>
        <w:tc>
          <w:tcPr>
            <w:tcW w:w="13431" w:type="dxa"/>
            <w:gridSpan w:val="2"/>
          </w:tcPr>
          <w:p w14:paraId="14C18017" w14:textId="77777777" w:rsidR="00E737E6" w:rsidRPr="00E737E6" w:rsidRDefault="00E737E6" w:rsidP="00E737E6">
            <w:pPr>
              <w:spacing w:before="0" w:after="0"/>
              <w:rPr>
                <w:rFonts w:asciiTheme="minorHAnsi" w:hAnsiTheme="minorHAnsi" w:cstheme="minorHAnsi"/>
                <w:color w:val="000000"/>
                <w:sz w:val="22"/>
                <w:shd w:val="clear" w:color="auto" w:fill="FFFFFF"/>
              </w:rPr>
            </w:pPr>
            <w:r w:rsidRPr="00E737E6">
              <w:rPr>
                <w:rFonts w:asciiTheme="minorHAnsi" w:hAnsiTheme="minorHAnsi" w:cstheme="minorHAnsi"/>
                <w:color w:val="000000"/>
                <w:sz w:val="22"/>
                <w:shd w:val="clear" w:color="auto" w:fill="FFFFFF"/>
              </w:rPr>
              <w:t>Create a Task Force approach to engage public bodies to promote prevention measures linked to the Housing (Scotland) Bill by September 2024</w:t>
            </w:r>
          </w:p>
        </w:tc>
      </w:tr>
      <w:tr w:rsidR="00E737E6" w:rsidRPr="00E737E6" w14:paraId="24A2CAF5" w14:textId="77777777" w:rsidTr="006C7300">
        <w:trPr>
          <w:trHeight w:val="255"/>
        </w:trPr>
        <w:tc>
          <w:tcPr>
            <w:tcW w:w="1155" w:type="dxa"/>
            <w:vMerge/>
          </w:tcPr>
          <w:p w14:paraId="002EA8F0" w14:textId="77777777" w:rsidR="00E737E6" w:rsidRPr="00E737E6" w:rsidRDefault="00E737E6" w:rsidP="00E737E6">
            <w:pPr>
              <w:spacing w:before="0" w:after="0"/>
              <w:rPr>
                <w:rFonts w:asciiTheme="minorHAnsi" w:hAnsiTheme="minorHAnsi" w:cstheme="minorHAnsi"/>
                <w:b/>
                <w:bCs/>
                <w:sz w:val="22"/>
              </w:rPr>
            </w:pPr>
          </w:p>
        </w:tc>
        <w:tc>
          <w:tcPr>
            <w:tcW w:w="13431" w:type="dxa"/>
            <w:gridSpan w:val="2"/>
          </w:tcPr>
          <w:p w14:paraId="1913B8BC" w14:textId="77777777" w:rsidR="00E737E6" w:rsidRPr="00E737E6" w:rsidRDefault="00E737E6" w:rsidP="00E737E6">
            <w:pPr>
              <w:spacing w:before="0" w:after="0"/>
              <w:rPr>
                <w:rFonts w:asciiTheme="minorHAnsi" w:hAnsiTheme="minorHAnsi"/>
                <w:color w:val="000000"/>
                <w:sz w:val="22"/>
                <w:shd w:val="clear" w:color="auto" w:fill="FFFFFF"/>
              </w:rPr>
            </w:pPr>
            <w:r w:rsidRPr="00E737E6">
              <w:rPr>
                <w:rFonts w:asciiTheme="minorHAnsi" w:hAnsiTheme="minorHAnsi"/>
                <w:color w:val="000000"/>
                <w:sz w:val="22"/>
                <w:bdr w:val="none" w:sz="0" w:space="0" w:color="auto" w:frame="1"/>
              </w:rPr>
              <w:t>Address student homelessness pressures in St Andrews by exploring options in relation to HMOs by Oct 2024</w:t>
            </w:r>
          </w:p>
        </w:tc>
      </w:tr>
      <w:tr w:rsidR="00E737E6" w:rsidRPr="00E737E6" w14:paraId="52AE3EE1" w14:textId="77777777" w:rsidTr="006C7300">
        <w:tc>
          <w:tcPr>
            <w:tcW w:w="1155" w:type="dxa"/>
            <w:vMerge w:val="restart"/>
            <w:shd w:val="clear" w:color="auto" w:fill="BDD6EE" w:themeFill="accent5" w:themeFillTint="66"/>
          </w:tcPr>
          <w:p w14:paraId="1450E5DD" w14:textId="77777777" w:rsidR="00E737E6" w:rsidRPr="00E737E6" w:rsidRDefault="00E737E6" w:rsidP="00E737E6">
            <w:pPr>
              <w:spacing w:before="0" w:after="0"/>
              <w:rPr>
                <w:rFonts w:asciiTheme="minorHAnsi" w:hAnsiTheme="minorHAnsi" w:cstheme="minorHAnsi"/>
                <w:b/>
                <w:bCs/>
                <w:sz w:val="22"/>
              </w:rPr>
            </w:pPr>
            <w:r w:rsidRPr="00E737E6">
              <w:rPr>
                <w:rFonts w:asciiTheme="minorHAnsi" w:hAnsiTheme="minorHAnsi" w:cstheme="minorHAnsi"/>
                <w:b/>
                <w:bCs/>
                <w:sz w:val="22"/>
              </w:rPr>
              <w:t>2025-27</w:t>
            </w:r>
          </w:p>
        </w:tc>
        <w:tc>
          <w:tcPr>
            <w:tcW w:w="13431" w:type="dxa"/>
            <w:gridSpan w:val="2"/>
          </w:tcPr>
          <w:p w14:paraId="7E8F1890" w14:textId="77777777" w:rsidR="00E737E6" w:rsidRPr="00E737E6" w:rsidRDefault="00E737E6" w:rsidP="00E737E6">
            <w:pPr>
              <w:spacing w:before="0" w:after="0"/>
              <w:rPr>
                <w:rFonts w:asciiTheme="minorHAnsi" w:hAnsiTheme="minorHAnsi" w:cstheme="minorHAnsi"/>
                <w:b/>
                <w:bCs/>
                <w:sz w:val="22"/>
              </w:rPr>
            </w:pPr>
            <w:r w:rsidRPr="00E737E6">
              <w:rPr>
                <w:rFonts w:asciiTheme="minorHAnsi" w:hAnsiTheme="minorHAnsi" w:cstheme="minorHAnsi"/>
                <w:sz w:val="22"/>
              </w:rPr>
              <w:t>Develop a range of actions to support people to remain safely in settled accommodation</w:t>
            </w:r>
          </w:p>
        </w:tc>
      </w:tr>
      <w:tr w:rsidR="00E737E6" w:rsidRPr="00E737E6" w14:paraId="762D3F2A" w14:textId="77777777" w:rsidTr="006C7300">
        <w:tc>
          <w:tcPr>
            <w:tcW w:w="1155" w:type="dxa"/>
            <w:vMerge/>
          </w:tcPr>
          <w:p w14:paraId="01AF0D3E" w14:textId="77777777" w:rsidR="00E737E6" w:rsidRPr="00E737E6" w:rsidRDefault="00E737E6" w:rsidP="00E737E6">
            <w:pPr>
              <w:spacing w:before="0" w:after="0"/>
              <w:rPr>
                <w:rFonts w:asciiTheme="minorHAnsi" w:hAnsiTheme="minorHAnsi" w:cstheme="minorHAnsi"/>
                <w:b/>
                <w:bCs/>
                <w:sz w:val="22"/>
              </w:rPr>
            </w:pPr>
          </w:p>
        </w:tc>
        <w:tc>
          <w:tcPr>
            <w:tcW w:w="13431" w:type="dxa"/>
            <w:gridSpan w:val="2"/>
          </w:tcPr>
          <w:p w14:paraId="339BAC49" w14:textId="77777777" w:rsidR="00E737E6" w:rsidRPr="00E737E6" w:rsidRDefault="00E737E6" w:rsidP="00E737E6">
            <w:pPr>
              <w:spacing w:before="0" w:after="0"/>
              <w:rPr>
                <w:rFonts w:asciiTheme="minorHAnsi" w:hAnsiTheme="minorHAnsi" w:cstheme="minorHAnsi"/>
                <w:b/>
                <w:bCs/>
                <w:sz w:val="22"/>
              </w:rPr>
            </w:pPr>
            <w:r w:rsidRPr="00E737E6">
              <w:rPr>
                <w:rFonts w:asciiTheme="minorHAnsi" w:hAnsiTheme="minorHAnsi" w:cstheme="minorHAnsi"/>
                <w:color w:val="000000"/>
                <w:sz w:val="22"/>
                <w:bdr w:val="none" w:sz="0" w:space="0" w:color="auto" w:frame="1"/>
              </w:rPr>
              <w:t xml:space="preserve">Develop and test new private rented sector options in partnership with commissioned services </w:t>
            </w:r>
            <w:r w:rsidRPr="00E737E6">
              <w:rPr>
                <w:rFonts w:asciiTheme="minorHAnsi" w:hAnsiTheme="minorHAnsi"/>
                <w:color w:val="000000"/>
                <w:sz w:val="22"/>
                <w:bdr w:val="none" w:sz="0" w:space="0" w:color="auto" w:frame="1"/>
              </w:rPr>
              <w:t>to support tenancy sustainment</w:t>
            </w:r>
          </w:p>
        </w:tc>
      </w:tr>
      <w:tr w:rsidR="00E737E6" w:rsidRPr="00E737E6" w14:paraId="53B1443C" w14:textId="77777777" w:rsidTr="006C7300">
        <w:tc>
          <w:tcPr>
            <w:tcW w:w="1155" w:type="dxa"/>
            <w:vMerge/>
          </w:tcPr>
          <w:p w14:paraId="40DD2C83" w14:textId="77777777" w:rsidR="00E737E6" w:rsidRPr="00E737E6" w:rsidRDefault="00E737E6" w:rsidP="00E737E6">
            <w:pPr>
              <w:spacing w:before="0" w:after="0"/>
              <w:rPr>
                <w:rFonts w:asciiTheme="minorHAnsi" w:hAnsiTheme="minorHAnsi" w:cstheme="minorHAnsi"/>
                <w:b/>
                <w:bCs/>
                <w:sz w:val="22"/>
              </w:rPr>
            </w:pPr>
          </w:p>
        </w:tc>
        <w:tc>
          <w:tcPr>
            <w:tcW w:w="13431" w:type="dxa"/>
            <w:gridSpan w:val="2"/>
          </w:tcPr>
          <w:p w14:paraId="000179FB" w14:textId="77777777" w:rsidR="00E737E6" w:rsidRPr="00E737E6" w:rsidRDefault="00E737E6" w:rsidP="00E737E6">
            <w:pPr>
              <w:spacing w:before="0" w:after="0"/>
              <w:rPr>
                <w:rFonts w:asciiTheme="minorHAnsi" w:hAnsiTheme="minorHAnsi" w:cstheme="minorHAnsi"/>
                <w:sz w:val="22"/>
              </w:rPr>
            </w:pPr>
            <w:r w:rsidRPr="00E737E6">
              <w:rPr>
                <w:rFonts w:asciiTheme="minorHAnsi" w:hAnsiTheme="minorHAnsi" w:cstheme="minorHAnsi"/>
                <w:sz w:val="22"/>
              </w:rPr>
              <w:t>Upscale the Housing First programme through collaborative commissioning</w:t>
            </w:r>
          </w:p>
        </w:tc>
      </w:tr>
      <w:tr w:rsidR="00E737E6" w:rsidRPr="00E737E6" w14:paraId="10C47420" w14:textId="77777777" w:rsidTr="006C7300">
        <w:tc>
          <w:tcPr>
            <w:tcW w:w="1155" w:type="dxa"/>
            <w:vMerge/>
          </w:tcPr>
          <w:p w14:paraId="52939886" w14:textId="77777777" w:rsidR="00E737E6" w:rsidRPr="00E737E6" w:rsidRDefault="00E737E6" w:rsidP="00E737E6">
            <w:pPr>
              <w:spacing w:before="0" w:after="0"/>
              <w:rPr>
                <w:rFonts w:asciiTheme="minorHAnsi" w:hAnsiTheme="minorHAnsi" w:cstheme="minorHAnsi"/>
                <w:b/>
                <w:bCs/>
                <w:sz w:val="22"/>
              </w:rPr>
            </w:pPr>
          </w:p>
        </w:tc>
        <w:tc>
          <w:tcPr>
            <w:tcW w:w="13431" w:type="dxa"/>
            <w:gridSpan w:val="2"/>
          </w:tcPr>
          <w:p w14:paraId="034F3582" w14:textId="77777777" w:rsidR="00E737E6" w:rsidRPr="00E737E6" w:rsidRDefault="00E737E6" w:rsidP="00E737E6">
            <w:pPr>
              <w:spacing w:before="0" w:after="0"/>
              <w:rPr>
                <w:rFonts w:asciiTheme="minorHAnsi" w:hAnsiTheme="minorHAnsi" w:cstheme="minorHAnsi"/>
                <w:sz w:val="22"/>
              </w:rPr>
            </w:pPr>
            <w:r w:rsidRPr="00E737E6">
              <w:rPr>
                <w:rFonts w:asciiTheme="minorHAnsi" w:hAnsiTheme="minorHAnsi" w:cstheme="minorHAnsi"/>
                <w:color w:val="000000"/>
                <w:sz w:val="22"/>
                <w:shd w:val="clear" w:color="auto" w:fill="FFFFFF"/>
              </w:rPr>
              <w:t>Develop and implement an enhanced residential Hosting option linked to the existing Resettlement Scheme for Ukrainians </w:t>
            </w:r>
          </w:p>
        </w:tc>
      </w:tr>
    </w:tbl>
    <w:p w14:paraId="4929D81E" w14:textId="77777777" w:rsidR="00E737E6" w:rsidRPr="00E737E6" w:rsidRDefault="00E737E6" w:rsidP="00646DB0">
      <w:pPr>
        <w:rPr>
          <w:rFonts w:ascii="Arial" w:hAnsi="Arial" w:cs="Arial"/>
          <w:b/>
        </w:rPr>
      </w:pPr>
    </w:p>
    <w:sectPr w:rsidR="00E737E6" w:rsidRPr="00E737E6" w:rsidSect="00E737E6">
      <w:pgSz w:w="16838" w:h="11906" w:orient="landscape"/>
      <w:pgMar w:top="1134" w:right="851" w:bottom="567" w:left="851" w:header="12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80E5B" w14:textId="77777777" w:rsidR="00133647" w:rsidRDefault="00133647">
      <w:r>
        <w:separator/>
      </w:r>
    </w:p>
  </w:endnote>
  <w:endnote w:type="continuationSeparator" w:id="0">
    <w:p w14:paraId="3A3CB9D3" w14:textId="77777777" w:rsidR="00133647" w:rsidRDefault="00133647">
      <w:r>
        <w:continuationSeparator/>
      </w:r>
    </w:p>
  </w:endnote>
  <w:endnote w:type="continuationNotice" w:id="1">
    <w:p w14:paraId="2648CFC1" w14:textId="77777777" w:rsidR="00133647" w:rsidRDefault="0013364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B8BCA" w14:textId="77777777" w:rsidR="00E737E6" w:rsidRDefault="00E737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B4528" w14:textId="77777777" w:rsidR="00E737E6" w:rsidRDefault="00E737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FE4AA" w14:textId="77777777" w:rsidR="00E737E6" w:rsidRDefault="00E737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50D76" w14:textId="77777777" w:rsidR="00133647" w:rsidRDefault="00133647">
      <w:r>
        <w:separator/>
      </w:r>
    </w:p>
  </w:footnote>
  <w:footnote w:type="continuationSeparator" w:id="0">
    <w:p w14:paraId="40C99485" w14:textId="77777777" w:rsidR="00133647" w:rsidRDefault="00133647">
      <w:r>
        <w:continuationSeparator/>
      </w:r>
    </w:p>
  </w:footnote>
  <w:footnote w:type="continuationNotice" w:id="1">
    <w:p w14:paraId="716B1E3C" w14:textId="77777777" w:rsidR="00133647" w:rsidRDefault="0013364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C3F01" w14:textId="77777777" w:rsidR="00E737E6" w:rsidRDefault="00000000">
    <w:pPr>
      <w:pStyle w:val="Header"/>
    </w:pPr>
    <w:r>
      <w:rPr>
        <w:noProof/>
      </w:rPr>
      <w:pict w14:anchorId="32F2C0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margin-left:0;margin-top:0;width:600.95pt;height:78.35pt;rotation:315;z-index:-251658752;mso-position-horizontal:center;mso-position-horizontal-relative:margin;mso-position-vertical:center;mso-position-vertical-relative:margin" o:allowincell="f" fillcolor="silver" stroked="f">
          <v:fill opacity=".5"/>
          <v:textpath style="font-family:&quot;Calibri&quot;;font-size:1pt" string="Confidential Draft in Progres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CC81D" w14:textId="6BB9DCBB" w:rsidR="00E737E6" w:rsidRDefault="00E737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0C4B7" w14:textId="0B0A843C" w:rsidR="00E737E6" w:rsidRDefault="00E737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27769"/>
    <w:multiLevelType w:val="multilevel"/>
    <w:tmpl w:val="FE1E739C"/>
    <w:lvl w:ilvl="0">
      <w:start w:val="1"/>
      <w:numFmt w:val="decimal"/>
      <w:pStyle w:val="NumberedList4"/>
      <w:lvlText w:val="%1."/>
      <w:lvlJc w:val="left"/>
      <w:pPr>
        <w:tabs>
          <w:tab w:val="num" w:pos="1778"/>
        </w:tabs>
        <w:ind w:left="1778" w:hanging="360"/>
      </w:pPr>
      <w:rPr>
        <w:rFonts w:hint="default"/>
      </w:rPr>
    </w:lvl>
    <w:lvl w:ilvl="1">
      <w:start w:val="1"/>
      <w:numFmt w:val="decimal"/>
      <w:isLgl/>
      <w:lvlText w:val="%1.%2"/>
      <w:lvlJc w:val="left"/>
      <w:pPr>
        <w:tabs>
          <w:tab w:val="num" w:pos="1943"/>
        </w:tabs>
        <w:ind w:left="1943" w:hanging="525"/>
      </w:pPr>
      <w:rPr>
        <w:rFonts w:hint="default"/>
      </w:rPr>
    </w:lvl>
    <w:lvl w:ilvl="2">
      <w:start w:val="1"/>
      <w:numFmt w:val="decimal"/>
      <w:isLgl/>
      <w:lvlText w:val="%1.%2.%3"/>
      <w:lvlJc w:val="left"/>
      <w:pPr>
        <w:tabs>
          <w:tab w:val="num" w:pos="2138"/>
        </w:tabs>
        <w:ind w:left="2138" w:hanging="720"/>
      </w:pPr>
      <w:rPr>
        <w:rFonts w:hint="default"/>
      </w:rPr>
    </w:lvl>
    <w:lvl w:ilvl="3">
      <w:start w:val="1"/>
      <w:numFmt w:val="decimal"/>
      <w:isLgl/>
      <w:lvlText w:val="%1.%2.%3.%4"/>
      <w:lvlJc w:val="left"/>
      <w:pPr>
        <w:tabs>
          <w:tab w:val="num" w:pos="2498"/>
        </w:tabs>
        <w:ind w:left="2498" w:hanging="1080"/>
      </w:pPr>
      <w:rPr>
        <w:rFonts w:hint="default"/>
      </w:rPr>
    </w:lvl>
    <w:lvl w:ilvl="4">
      <w:start w:val="1"/>
      <w:numFmt w:val="decimal"/>
      <w:isLgl/>
      <w:lvlText w:val="%1.%2.%3.%4.%5"/>
      <w:lvlJc w:val="left"/>
      <w:pPr>
        <w:tabs>
          <w:tab w:val="num" w:pos="2498"/>
        </w:tabs>
        <w:ind w:left="2498" w:hanging="1080"/>
      </w:pPr>
      <w:rPr>
        <w:rFonts w:hint="default"/>
      </w:rPr>
    </w:lvl>
    <w:lvl w:ilvl="5">
      <w:start w:val="1"/>
      <w:numFmt w:val="decimal"/>
      <w:isLgl/>
      <w:lvlText w:val="%1.%2.%3.%4.%5.%6"/>
      <w:lvlJc w:val="left"/>
      <w:pPr>
        <w:tabs>
          <w:tab w:val="num" w:pos="2858"/>
        </w:tabs>
        <w:ind w:left="2858" w:hanging="1440"/>
      </w:pPr>
      <w:rPr>
        <w:rFonts w:hint="default"/>
      </w:rPr>
    </w:lvl>
    <w:lvl w:ilvl="6">
      <w:start w:val="1"/>
      <w:numFmt w:val="decimal"/>
      <w:isLgl/>
      <w:lvlText w:val="%1.%2.%3.%4.%5.%6.%7"/>
      <w:lvlJc w:val="left"/>
      <w:pPr>
        <w:tabs>
          <w:tab w:val="num" w:pos="2858"/>
        </w:tabs>
        <w:ind w:left="2858" w:hanging="1440"/>
      </w:pPr>
      <w:rPr>
        <w:rFonts w:hint="default"/>
      </w:rPr>
    </w:lvl>
    <w:lvl w:ilvl="7">
      <w:start w:val="1"/>
      <w:numFmt w:val="decimal"/>
      <w:isLgl/>
      <w:lvlText w:val="%1.%2.%3.%4.%5.%6.%7.%8"/>
      <w:lvlJc w:val="left"/>
      <w:pPr>
        <w:tabs>
          <w:tab w:val="num" w:pos="3218"/>
        </w:tabs>
        <w:ind w:left="3218" w:hanging="1800"/>
      </w:pPr>
      <w:rPr>
        <w:rFonts w:hint="default"/>
      </w:rPr>
    </w:lvl>
    <w:lvl w:ilvl="8">
      <w:start w:val="1"/>
      <w:numFmt w:val="decimal"/>
      <w:isLgl/>
      <w:lvlText w:val="%1.%2.%3.%4.%5.%6.%7.%8.%9"/>
      <w:lvlJc w:val="left"/>
      <w:pPr>
        <w:tabs>
          <w:tab w:val="num" w:pos="3218"/>
        </w:tabs>
        <w:ind w:left="3218" w:hanging="1800"/>
      </w:pPr>
      <w:rPr>
        <w:rFonts w:hint="default"/>
      </w:rPr>
    </w:lvl>
  </w:abstractNum>
  <w:abstractNum w:abstractNumId="1" w15:restartNumberingAfterBreak="0">
    <w:nsid w:val="05180C0E"/>
    <w:multiLevelType w:val="hybridMultilevel"/>
    <w:tmpl w:val="F47CC0DA"/>
    <w:lvl w:ilvl="0" w:tplc="6D7206EC">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65E7EB9"/>
    <w:multiLevelType w:val="hybridMultilevel"/>
    <w:tmpl w:val="9C7A9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2768A"/>
    <w:multiLevelType w:val="hybridMultilevel"/>
    <w:tmpl w:val="E05826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D0414D7"/>
    <w:multiLevelType w:val="hybridMultilevel"/>
    <w:tmpl w:val="487E9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5B10E5"/>
    <w:multiLevelType w:val="hybridMultilevel"/>
    <w:tmpl w:val="EF0E8990"/>
    <w:lvl w:ilvl="0" w:tplc="CC7C2AB0">
      <w:start w:val="1"/>
      <w:numFmt w:val="bullet"/>
      <w:pStyle w:val="ListBullet"/>
      <w:lvlText w:val=""/>
      <w:lvlJc w:val="left"/>
      <w:pPr>
        <w:tabs>
          <w:tab w:val="num" w:pos="1767"/>
        </w:tabs>
        <w:ind w:left="1767" w:hanging="338"/>
      </w:pPr>
      <w:rPr>
        <w:rFonts w:ascii="Wingdings" w:hAnsi="Wingdings" w:hint="default"/>
        <w:sz w:val="16"/>
      </w:rPr>
    </w:lvl>
    <w:lvl w:ilvl="1" w:tplc="08090003" w:tentative="1">
      <w:start w:val="1"/>
      <w:numFmt w:val="bullet"/>
      <w:lvlText w:val="o"/>
      <w:lvlJc w:val="left"/>
      <w:pPr>
        <w:tabs>
          <w:tab w:val="num" w:pos="1789"/>
        </w:tabs>
        <w:ind w:left="1789" w:hanging="360"/>
      </w:pPr>
      <w:rPr>
        <w:rFonts w:ascii="Courier New" w:hAnsi="Courier New" w:cs="Courier New" w:hint="default"/>
      </w:rPr>
    </w:lvl>
    <w:lvl w:ilvl="2" w:tplc="08090005" w:tentative="1">
      <w:start w:val="1"/>
      <w:numFmt w:val="bullet"/>
      <w:lvlText w:val=""/>
      <w:lvlJc w:val="left"/>
      <w:pPr>
        <w:tabs>
          <w:tab w:val="num" w:pos="2509"/>
        </w:tabs>
        <w:ind w:left="2509" w:hanging="360"/>
      </w:pPr>
      <w:rPr>
        <w:rFonts w:ascii="Wingdings" w:hAnsi="Wingdings" w:hint="default"/>
      </w:rPr>
    </w:lvl>
    <w:lvl w:ilvl="3" w:tplc="08090001" w:tentative="1">
      <w:start w:val="1"/>
      <w:numFmt w:val="bullet"/>
      <w:lvlText w:val=""/>
      <w:lvlJc w:val="left"/>
      <w:pPr>
        <w:tabs>
          <w:tab w:val="num" w:pos="3229"/>
        </w:tabs>
        <w:ind w:left="3229" w:hanging="360"/>
      </w:pPr>
      <w:rPr>
        <w:rFonts w:ascii="Symbol" w:hAnsi="Symbol" w:hint="default"/>
      </w:rPr>
    </w:lvl>
    <w:lvl w:ilvl="4" w:tplc="08090003" w:tentative="1">
      <w:start w:val="1"/>
      <w:numFmt w:val="bullet"/>
      <w:lvlText w:val="o"/>
      <w:lvlJc w:val="left"/>
      <w:pPr>
        <w:tabs>
          <w:tab w:val="num" w:pos="3949"/>
        </w:tabs>
        <w:ind w:left="3949" w:hanging="360"/>
      </w:pPr>
      <w:rPr>
        <w:rFonts w:ascii="Courier New" w:hAnsi="Courier New" w:cs="Courier New" w:hint="default"/>
      </w:rPr>
    </w:lvl>
    <w:lvl w:ilvl="5" w:tplc="08090005" w:tentative="1">
      <w:start w:val="1"/>
      <w:numFmt w:val="bullet"/>
      <w:lvlText w:val=""/>
      <w:lvlJc w:val="left"/>
      <w:pPr>
        <w:tabs>
          <w:tab w:val="num" w:pos="4669"/>
        </w:tabs>
        <w:ind w:left="4669" w:hanging="360"/>
      </w:pPr>
      <w:rPr>
        <w:rFonts w:ascii="Wingdings" w:hAnsi="Wingdings" w:hint="default"/>
      </w:rPr>
    </w:lvl>
    <w:lvl w:ilvl="6" w:tplc="08090001" w:tentative="1">
      <w:start w:val="1"/>
      <w:numFmt w:val="bullet"/>
      <w:lvlText w:val=""/>
      <w:lvlJc w:val="left"/>
      <w:pPr>
        <w:tabs>
          <w:tab w:val="num" w:pos="5389"/>
        </w:tabs>
        <w:ind w:left="5389" w:hanging="360"/>
      </w:pPr>
      <w:rPr>
        <w:rFonts w:ascii="Symbol" w:hAnsi="Symbol" w:hint="default"/>
      </w:rPr>
    </w:lvl>
    <w:lvl w:ilvl="7" w:tplc="08090003" w:tentative="1">
      <w:start w:val="1"/>
      <w:numFmt w:val="bullet"/>
      <w:lvlText w:val="o"/>
      <w:lvlJc w:val="left"/>
      <w:pPr>
        <w:tabs>
          <w:tab w:val="num" w:pos="6109"/>
        </w:tabs>
        <w:ind w:left="6109" w:hanging="360"/>
      </w:pPr>
      <w:rPr>
        <w:rFonts w:ascii="Courier New" w:hAnsi="Courier New" w:cs="Courier New" w:hint="default"/>
      </w:rPr>
    </w:lvl>
    <w:lvl w:ilvl="8" w:tplc="08090005" w:tentative="1">
      <w:start w:val="1"/>
      <w:numFmt w:val="bullet"/>
      <w:lvlText w:val=""/>
      <w:lvlJc w:val="left"/>
      <w:pPr>
        <w:tabs>
          <w:tab w:val="num" w:pos="6829"/>
        </w:tabs>
        <w:ind w:left="6829" w:hanging="360"/>
      </w:pPr>
      <w:rPr>
        <w:rFonts w:ascii="Wingdings" w:hAnsi="Wingdings" w:hint="default"/>
      </w:rPr>
    </w:lvl>
  </w:abstractNum>
  <w:abstractNum w:abstractNumId="6" w15:restartNumberingAfterBreak="0">
    <w:nsid w:val="0E365A12"/>
    <w:multiLevelType w:val="multilevel"/>
    <w:tmpl w:val="55AAB44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pStyle w:val="Para2"/>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3864057"/>
    <w:multiLevelType w:val="hybridMultilevel"/>
    <w:tmpl w:val="F73419A6"/>
    <w:lvl w:ilvl="0" w:tplc="3C62F0DE">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17B0616B"/>
    <w:multiLevelType w:val="multilevel"/>
    <w:tmpl w:val="442CAE46"/>
    <w:lvl w:ilvl="0">
      <w:start w:val="1"/>
      <w:numFmt w:val="decimal"/>
      <w:pStyle w:val="Bulletedlist1"/>
      <w:lvlText w:val="%1."/>
      <w:lvlJc w:val="left"/>
      <w:pPr>
        <w:ind w:left="1440" w:hanging="720"/>
      </w:pPr>
      <w:rPr>
        <w:rFonts w:hint="default"/>
      </w:rPr>
    </w:lvl>
    <w:lvl w:ilvl="1">
      <w:start w:val="1"/>
      <w:numFmt w:val="decimal"/>
      <w:isLgl/>
      <w:lvlText w:val="%1.%2"/>
      <w:lvlJc w:val="left"/>
      <w:pPr>
        <w:ind w:left="2880" w:hanging="72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6120" w:hanging="1080"/>
      </w:pPr>
      <w:rPr>
        <w:rFonts w:hint="default"/>
      </w:rPr>
    </w:lvl>
    <w:lvl w:ilvl="4">
      <w:start w:val="1"/>
      <w:numFmt w:val="decimal"/>
      <w:isLgl/>
      <w:lvlText w:val="%1.%2.%3.%4.%5"/>
      <w:lvlJc w:val="left"/>
      <w:pPr>
        <w:ind w:left="7560" w:hanging="1080"/>
      </w:pPr>
      <w:rPr>
        <w:rFonts w:hint="default"/>
      </w:rPr>
    </w:lvl>
    <w:lvl w:ilvl="5">
      <w:start w:val="1"/>
      <w:numFmt w:val="decimal"/>
      <w:isLgl/>
      <w:lvlText w:val="%1.%2.%3.%4.%5.%6"/>
      <w:lvlJc w:val="left"/>
      <w:pPr>
        <w:ind w:left="9360" w:hanging="1440"/>
      </w:pPr>
      <w:rPr>
        <w:rFonts w:hint="default"/>
      </w:rPr>
    </w:lvl>
    <w:lvl w:ilvl="6">
      <w:start w:val="1"/>
      <w:numFmt w:val="decimal"/>
      <w:isLgl/>
      <w:lvlText w:val="%1.%2.%3.%4.%5.%6.%7"/>
      <w:lvlJc w:val="left"/>
      <w:pPr>
        <w:ind w:left="10800" w:hanging="1440"/>
      </w:pPr>
      <w:rPr>
        <w:rFonts w:hint="default"/>
      </w:rPr>
    </w:lvl>
    <w:lvl w:ilvl="7">
      <w:start w:val="1"/>
      <w:numFmt w:val="decimal"/>
      <w:isLgl/>
      <w:lvlText w:val="%1.%2.%3.%4.%5.%6.%7.%8"/>
      <w:lvlJc w:val="left"/>
      <w:pPr>
        <w:ind w:left="12600" w:hanging="1800"/>
      </w:pPr>
      <w:rPr>
        <w:rFonts w:hint="default"/>
      </w:rPr>
    </w:lvl>
    <w:lvl w:ilvl="8">
      <w:start w:val="1"/>
      <w:numFmt w:val="decimal"/>
      <w:isLgl/>
      <w:lvlText w:val="%1.%2.%3.%4.%5.%6.%7.%8.%9"/>
      <w:lvlJc w:val="left"/>
      <w:pPr>
        <w:ind w:left="14040" w:hanging="1800"/>
      </w:pPr>
      <w:rPr>
        <w:rFonts w:hint="default"/>
      </w:rPr>
    </w:lvl>
  </w:abstractNum>
  <w:abstractNum w:abstractNumId="9" w15:restartNumberingAfterBreak="0">
    <w:nsid w:val="1E347638"/>
    <w:multiLevelType w:val="multilevel"/>
    <w:tmpl w:val="18D608C8"/>
    <w:lvl w:ilvl="0">
      <w:start w:val="2"/>
      <w:numFmt w:val="none"/>
      <w:pStyle w:val="NumberList1"/>
      <w:lvlText w:val="1"/>
      <w:lvlJc w:val="left"/>
      <w:pPr>
        <w:tabs>
          <w:tab w:val="num" w:pos="2066"/>
        </w:tabs>
        <w:ind w:left="2066" w:hanging="360"/>
      </w:pPr>
      <w:rPr>
        <w:rFonts w:hint="default"/>
      </w:rPr>
    </w:lvl>
    <w:lvl w:ilvl="1">
      <w:start w:val="1"/>
      <w:numFmt w:val="decimal"/>
      <w:lvlText w:val="%1.%2."/>
      <w:lvlJc w:val="left"/>
      <w:pPr>
        <w:tabs>
          <w:tab w:val="num" w:pos="2498"/>
        </w:tabs>
        <w:ind w:left="2498" w:hanging="432"/>
      </w:pPr>
      <w:rPr>
        <w:rFonts w:hint="default"/>
      </w:rPr>
    </w:lvl>
    <w:lvl w:ilvl="2">
      <w:start w:val="1"/>
      <w:numFmt w:val="decimal"/>
      <w:lvlText w:val="%1.%2.%3."/>
      <w:lvlJc w:val="left"/>
      <w:pPr>
        <w:tabs>
          <w:tab w:val="num" w:pos="2930"/>
        </w:tabs>
        <w:ind w:left="2930" w:hanging="504"/>
      </w:pPr>
      <w:rPr>
        <w:rFonts w:hint="default"/>
      </w:rPr>
    </w:lvl>
    <w:lvl w:ilvl="3">
      <w:start w:val="1"/>
      <w:numFmt w:val="decimal"/>
      <w:lvlText w:val="%1.%2.%3.%4."/>
      <w:lvlJc w:val="left"/>
      <w:pPr>
        <w:tabs>
          <w:tab w:val="num" w:pos="3506"/>
        </w:tabs>
        <w:ind w:left="3434" w:hanging="648"/>
      </w:pPr>
      <w:rPr>
        <w:rFonts w:hint="default"/>
      </w:rPr>
    </w:lvl>
    <w:lvl w:ilvl="4">
      <w:start w:val="1"/>
      <w:numFmt w:val="decimal"/>
      <w:lvlText w:val="%1.%2.%3.%4.%5."/>
      <w:lvlJc w:val="left"/>
      <w:pPr>
        <w:tabs>
          <w:tab w:val="num" w:pos="4226"/>
        </w:tabs>
        <w:ind w:left="3938" w:hanging="792"/>
      </w:pPr>
      <w:rPr>
        <w:rFonts w:hint="default"/>
      </w:rPr>
    </w:lvl>
    <w:lvl w:ilvl="5">
      <w:start w:val="1"/>
      <w:numFmt w:val="decimal"/>
      <w:lvlText w:val="%1.%2.%3.%4.%5.%6."/>
      <w:lvlJc w:val="left"/>
      <w:pPr>
        <w:tabs>
          <w:tab w:val="num" w:pos="4586"/>
        </w:tabs>
        <w:ind w:left="4442" w:hanging="936"/>
      </w:pPr>
      <w:rPr>
        <w:rFonts w:hint="default"/>
      </w:rPr>
    </w:lvl>
    <w:lvl w:ilvl="6">
      <w:start w:val="1"/>
      <w:numFmt w:val="decimal"/>
      <w:lvlText w:val="%1.%2.%3.%4.%5.%6.%7."/>
      <w:lvlJc w:val="left"/>
      <w:pPr>
        <w:tabs>
          <w:tab w:val="num" w:pos="5306"/>
        </w:tabs>
        <w:ind w:left="4946" w:hanging="1080"/>
      </w:pPr>
      <w:rPr>
        <w:rFonts w:hint="default"/>
      </w:rPr>
    </w:lvl>
    <w:lvl w:ilvl="7">
      <w:start w:val="1"/>
      <w:numFmt w:val="decimal"/>
      <w:lvlText w:val="%1.%2.%3.%4.%5.%6.%7.%8."/>
      <w:lvlJc w:val="left"/>
      <w:pPr>
        <w:tabs>
          <w:tab w:val="num" w:pos="5666"/>
        </w:tabs>
        <w:ind w:left="5450" w:hanging="1224"/>
      </w:pPr>
      <w:rPr>
        <w:rFonts w:hint="default"/>
      </w:rPr>
    </w:lvl>
    <w:lvl w:ilvl="8">
      <w:start w:val="1"/>
      <w:numFmt w:val="decimal"/>
      <w:lvlText w:val="%1.%2.%3.%4.%5.%6.%7.%8.%9."/>
      <w:lvlJc w:val="left"/>
      <w:pPr>
        <w:tabs>
          <w:tab w:val="num" w:pos="6386"/>
        </w:tabs>
        <w:ind w:left="6026" w:hanging="1440"/>
      </w:pPr>
      <w:rPr>
        <w:rFonts w:hint="default"/>
      </w:rPr>
    </w:lvl>
  </w:abstractNum>
  <w:abstractNum w:abstractNumId="10" w15:restartNumberingAfterBreak="0">
    <w:nsid w:val="249514D1"/>
    <w:multiLevelType w:val="hybridMultilevel"/>
    <w:tmpl w:val="8CFABC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4E1D59"/>
    <w:multiLevelType w:val="hybridMultilevel"/>
    <w:tmpl w:val="519A150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15:restartNumberingAfterBreak="0">
    <w:nsid w:val="30375792"/>
    <w:multiLevelType w:val="hybridMultilevel"/>
    <w:tmpl w:val="C71AEE1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54C6D5D"/>
    <w:multiLevelType w:val="hybridMultilevel"/>
    <w:tmpl w:val="908CF3E4"/>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720" w:hanging="360"/>
      </w:pPr>
      <w:rPr>
        <w:rFonts w:ascii="Symbol" w:hAnsi="Symbol" w:hint="default"/>
      </w:rPr>
    </w:lvl>
    <w:lvl w:ilvl="4" w:tplc="08090003" w:tentative="1">
      <w:start w:val="1"/>
      <w:numFmt w:val="bullet"/>
      <w:lvlText w:val="o"/>
      <w:lvlJc w:val="left"/>
      <w:pPr>
        <w:ind w:left="0" w:hanging="360"/>
      </w:pPr>
      <w:rPr>
        <w:rFonts w:ascii="Courier New" w:hAnsi="Courier New" w:cs="Courier New" w:hint="default"/>
      </w:rPr>
    </w:lvl>
    <w:lvl w:ilvl="5" w:tplc="08090005" w:tentative="1">
      <w:start w:val="1"/>
      <w:numFmt w:val="bullet"/>
      <w:lvlText w:val=""/>
      <w:lvlJc w:val="left"/>
      <w:pPr>
        <w:ind w:left="720" w:hanging="360"/>
      </w:pPr>
      <w:rPr>
        <w:rFonts w:ascii="Wingdings" w:hAnsi="Wingdings" w:hint="default"/>
      </w:rPr>
    </w:lvl>
    <w:lvl w:ilvl="6" w:tplc="08090001" w:tentative="1">
      <w:start w:val="1"/>
      <w:numFmt w:val="bullet"/>
      <w:lvlText w:val=""/>
      <w:lvlJc w:val="left"/>
      <w:pPr>
        <w:ind w:left="1440" w:hanging="360"/>
      </w:pPr>
      <w:rPr>
        <w:rFonts w:ascii="Symbol" w:hAnsi="Symbol" w:hint="default"/>
      </w:rPr>
    </w:lvl>
    <w:lvl w:ilvl="7" w:tplc="08090003" w:tentative="1">
      <w:start w:val="1"/>
      <w:numFmt w:val="bullet"/>
      <w:lvlText w:val="o"/>
      <w:lvlJc w:val="left"/>
      <w:pPr>
        <w:ind w:left="2160" w:hanging="360"/>
      </w:pPr>
      <w:rPr>
        <w:rFonts w:ascii="Courier New" w:hAnsi="Courier New" w:cs="Courier New" w:hint="default"/>
      </w:rPr>
    </w:lvl>
    <w:lvl w:ilvl="8" w:tplc="08090005" w:tentative="1">
      <w:start w:val="1"/>
      <w:numFmt w:val="bullet"/>
      <w:lvlText w:val=""/>
      <w:lvlJc w:val="left"/>
      <w:pPr>
        <w:ind w:left="2880" w:hanging="360"/>
      </w:pPr>
      <w:rPr>
        <w:rFonts w:ascii="Wingdings" w:hAnsi="Wingdings" w:hint="default"/>
      </w:rPr>
    </w:lvl>
  </w:abstractNum>
  <w:abstractNum w:abstractNumId="14" w15:restartNumberingAfterBreak="0">
    <w:nsid w:val="37613D84"/>
    <w:multiLevelType w:val="multilevel"/>
    <w:tmpl w:val="12EE8F7A"/>
    <w:lvl w:ilvl="0">
      <w:start w:val="2"/>
      <w:numFmt w:val="decimal"/>
      <w:lvlText w:val="%1"/>
      <w:lvlJc w:val="left"/>
      <w:pPr>
        <w:tabs>
          <w:tab w:val="num" w:pos="1080"/>
        </w:tabs>
        <w:ind w:left="1080" w:hanging="360"/>
      </w:pPr>
      <w:rPr>
        <w:rFonts w:hint="default"/>
      </w:rPr>
    </w:lvl>
    <w:lvl w:ilvl="1">
      <w:start w:val="1"/>
      <w:numFmt w:val="decimal"/>
      <w:lvlText w:val="%2%1.1"/>
      <w:lvlJc w:val="left"/>
      <w:pPr>
        <w:tabs>
          <w:tab w:val="num" w:pos="1512"/>
        </w:tabs>
        <w:ind w:left="1512" w:hanging="432"/>
      </w:pPr>
      <w:rPr>
        <w:rFonts w:hint="default"/>
      </w:rPr>
    </w:lvl>
    <w:lvl w:ilvl="2">
      <w:start w:val="1"/>
      <w:numFmt w:val="none"/>
      <w:pStyle w:val="StyleNumberedList2Left254cmFirstline0cm"/>
      <w:lvlText w:val=""/>
      <w:lvlJc w:val="left"/>
      <w:pPr>
        <w:tabs>
          <w:tab w:val="num" w:pos="1944"/>
        </w:tabs>
        <w:ind w:left="1944" w:hanging="504"/>
      </w:pPr>
      <w:rPr>
        <w:rFonts w:hint="default"/>
      </w:rPr>
    </w:lvl>
    <w:lvl w:ilvl="3">
      <w:start w:val="1"/>
      <w:numFmt w:val="none"/>
      <w:isLgl/>
      <w:lvlText w:val="2.%2"/>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5" w15:restartNumberingAfterBreak="0">
    <w:nsid w:val="3C80373E"/>
    <w:multiLevelType w:val="hybridMultilevel"/>
    <w:tmpl w:val="FC5E6D8A"/>
    <w:lvl w:ilvl="0" w:tplc="B3B25A70">
      <w:start w:val="1"/>
      <w:numFmt w:val="bullet"/>
      <w:lvlText w:val="•"/>
      <w:lvlJc w:val="left"/>
      <w:pPr>
        <w:tabs>
          <w:tab w:val="num" w:pos="720"/>
        </w:tabs>
        <w:ind w:left="720" w:hanging="360"/>
      </w:pPr>
      <w:rPr>
        <w:rFonts w:ascii="Arial" w:hAnsi="Arial" w:hint="default"/>
      </w:rPr>
    </w:lvl>
    <w:lvl w:ilvl="1" w:tplc="0A26D0BA" w:tentative="1">
      <w:start w:val="1"/>
      <w:numFmt w:val="bullet"/>
      <w:lvlText w:val="•"/>
      <w:lvlJc w:val="left"/>
      <w:pPr>
        <w:tabs>
          <w:tab w:val="num" w:pos="1440"/>
        </w:tabs>
        <w:ind w:left="1440" w:hanging="360"/>
      </w:pPr>
      <w:rPr>
        <w:rFonts w:ascii="Arial" w:hAnsi="Arial" w:hint="default"/>
      </w:rPr>
    </w:lvl>
    <w:lvl w:ilvl="2" w:tplc="E5BE4B72" w:tentative="1">
      <w:start w:val="1"/>
      <w:numFmt w:val="bullet"/>
      <w:lvlText w:val="•"/>
      <w:lvlJc w:val="left"/>
      <w:pPr>
        <w:tabs>
          <w:tab w:val="num" w:pos="2160"/>
        </w:tabs>
        <w:ind w:left="2160" w:hanging="360"/>
      </w:pPr>
      <w:rPr>
        <w:rFonts w:ascii="Arial" w:hAnsi="Arial" w:hint="default"/>
      </w:rPr>
    </w:lvl>
    <w:lvl w:ilvl="3" w:tplc="C8BA2492" w:tentative="1">
      <w:start w:val="1"/>
      <w:numFmt w:val="bullet"/>
      <w:lvlText w:val="•"/>
      <w:lvlJc w:val="left"/>
      <w:pPr>
        <w:tabs>
          <w:tab w:val="num" w:pos="2880"/>
        </w:tabs>
        <w:ind w:left="2880" w:hanging="360"/>
      </w:pPr>
      <w:rPr>
        <w:rFonts w:ascii="Arial" w:hAnsi="Arial" w:hint="default"/>
      </w:rPr>
    </w:lvl>
    <w:lvl w:ilvl="4" w:tplc="3A48509E" w:tentative="1">
      <w:start w:val="1"/>
      <w:numFmt w:val="bullet"/>
      <w:lvlText w:val="•"/>
      <w:lvlJc w:val="left"/>
      <w:pPr>
        <w:tabs>
          <w:tab w:val="num" w:pos="3600"/>
        </w:tabs>
        <w:ind w:left="3600" w:hanging="360"/>
      </w:pPr>
      <w:rPr>
        <w:rFonts w:ascii="Arial" w:hAnsi="Arial" w:hint="default"/>
      </w:rPr>
    </w:lvl>
    <w:lvl w:ilvl="5" w:tplc="3EC439FE" w:tentative="1">
      <w:start w:val="1"/>
      <w:numFmt w:val="bullet"/>
      <w:lvlText w:val="•"/>
      <w:lvlJc w:val="left"/>
      <w:pPr>
        <w:tabs>
          <w:tab w:val="num" w:pos="4320"/>
        </w:tabs>
        <w:ind w:left="4320" w:hanging="360"/>
      </w:pPr>
      <w:rPr>
        <w:rFonts w:ascii="Arial" w:hAnsi="Arial" w:hint="default"/>
      </w:rPr>
    </w:lvl>
    <w:lvl w:ilvl="6" w:tplc="562C57B4" w:tentative="1">
      <w:start w:val="1"/>
      <w:numFmt w:val="bullet"/>
      <w:lvlText w:val="•"/>
      <w:lvlJc w:val="left"/>
      <w:pPr>
        <w:tabs>
          <w:tab w:val="num" w:pos="5040"/>
        </w:tabs>
        <w:ind w:left="5040" w:hanging="360"/>
      </w:pPr>
      <w:rPr>
        <w:rFonts w:ascii="Arial" w:hAnsi="Arial" w:hint="default"/>
      </w:rPr>
    </w:lvl>
    <w:lvl w:ilvl="7" w:tplc="FBE899F6" w:tentative="1">
      <w:start w:val="1"/>
      <w:numFmt w:val="bullet"/>
      <w:lvlText w:val="•"/>
      <w:lvlJc w:val="left"/>
      <w:pPr>
        <w:tabs>
          <w:tab w:val="num" w:pos="5760"/>
        </w:tabs>
        <w:ind w:left="5760" w:hanging="360"/>
      </w:pPr>
      <w:rPr>
        <w:rFonts w:ascii="Arial" w:hAnsi="Arial" w:hint="default"/>
      </w:rPr>
    </w:lvl>
    <w:lvl w:ilvl="8" w:tplc="017426A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9D37A01"/>
    <w:multiLevelType w:val="hybridMultilevel"/>
    <w:tmpl w:val="0570DA6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2B0458E"/>
    <w:multiLevelType w:val="multilevel"/>
    <w:tmpl w:val="55A03FB8"/>
    <w:styleLink w:val="StyleOutlinenumberedLeft254cmHanging093cm"/>
    <w:lvl w:ilvl="0">
      <w:start w:val="2"/>
      <w:numFmt w:val="decimal"/>
      <w:lvlText w:val="%1."/>
      <w:lvlJc w:val="left"/>
      <w:pPr>
        <w:tabs>
          <w:tab w:val="num" w:pos="1800"/>
        </w:tabs>
        <w:ind w:left="1800" w:hanging="360"/>
      </w:pPr>
      <w:rPr>
        <w:rFonts w:hint="default"/>
      </w:rPr>
    </w:lvl>
    <w:lvl w:ilvl="1">
      <w:start w:val="1"/>
      <w:numFmt w:val="decimal"/>
      <w:isLgl/>
      <w:lvlText w:val="%1.%2"/>
      <w:lvlJc w:val="left"/>
      <w:pPr>
        <w:tabs>
          <w:tab w:val="num" w:pos="1093"/>
        </w:tabs>
        <w:ind w:left="1093" w:hanging="525"/>
      </w:pPr>
      <w:rPr>
        <w:rFonts w:hint="default"/>
        <w:sz w:val="24"/>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44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240"/>
        </w:tabs>
        <w:ind w:left="3240" w:hanging="180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63C7219D"/>
    <w:multiLevelType w:val="multilevel"/>
    <w:tmpl w:val="404CEE34"/>
    <w:lvl w:ilvl="0">
      <w:start w:val="2"/>
      <w:numFmt w:val="decimal"/>
      <w:lvlText w:val="%1."/>
      <w:lvlJc w:val="left"/>
      <w:pPr>
        <w:tabs>
          <w:tab w:val="num" w:pos="2498"/>
        </w:tabs>
        <w:ind w:left="2498" w:hanging="360"/>
      </w:pPr>
      <w:rPr>
        <w:rFonts w:hint="default"/>
      </w:rPr>
    </w:lvl>
    <w:lvl w:ilvl="1">
      <w:start w:val="1"/>
      <w:numFmt w:val="decimal"/>
      <w:isLgl/>
      <w:lvlText w:val="%1.%2"/>
      <w:lvlJc w:val="left"/>
      <w:pPr>
        <w:tabs>
          <w:tab w:val="num" w:pos="2663"/>
        </w:tabs>
        <w:ind w:left="2663" w:hanging="525"/>
      </w:pPr>
      <w:rPr>
        <w:rFonts w:hint="default"/>
      </w:rPr>
    </w:lvl>
    <w:lvl w:ilvl="2">
      <w:start w:val="1"/>
      <w:numFmt w:val="decimal"/>
      <w:isLgl/>
      <w:lvlText w:val="%1.%2.%3"/>
      <w:lvlJc w:val="left"/>
      <w:pPr>
        <w:tabs>
          <w:tab w:val="num" w:pos="2858"/>
        </w:tabs>
        <w:ind w:left="2858" w:hanging="720"/>
      </w:pPr>
      <w:rPr>
        <w:rFonts w:hint="default"/>
      </w:rPr>
    </w:lvl>
    <w:lvl w:ilvl="3">
      <w:start w:val="1"/>
      <w:numFmt w:val="decimal"/>
      <w:isLgl/>
      <w:lvlText w:val="%1.%2.%3.%4"/>
      <w:lvlJc w:val="left"/>
      <w:pPr>
        <w:tabs>
          <w:tab w:val="num" w:pos="3218"/>
        </w:tabs>
        <w:ind w:left="3218" w:hanging="1080"/>
      </w:pPr>
      <w:rPr>
        <w:rFonts w:hint="default"/>
      </w:rPr>
    </w:lvl>
    <w:lvl w:ilvl="4">
      <w:start w:val="1"/>
      <w:numFmt w:val="decimal"/>
      <w:isLgl/>
      <w:lvlText w:val="%1.%2.%3.%4.%5"/>
      <w:lvlJc w:val="left"/>
      <w:pPr>
        <w:tabs>
          <w:tab w:val="num" w:pos="3218"/>
        </w:tabs>
        <w:ind w:left="3218" w:hanging="1080"/>
      </w:pPr>
      <w:rPr>
        <w:rFonts w:hint="default"/>
      </w:rPr>
    </w:lvl>
    <w:lvl w:ilvl="5">
      <w:start w:val="1"/>
      <w:numFmt w:val="decimal"/>
      <w:isLgl/>
      <w:lvlText w:val="%1.%2.%3.%4.%5.%6"/>
      <w:lvlJc w:val="left"/>
      <w:pPr>
        <w:tabs>
          <w:tab w:val="num" w:pos="3578"/>
        </w:tabs>
        <w:ind w:left="3578" w:hanging="1440"/>
      </w:pPr>
      <w:rPr>
        <w:rFonts w:hint="default"/>
      </w:rPr>
    </w:lvl>
    <w:lvl w:ilvl="6">
      <w:start w:val="1"/>
      <w:numFmt w:val="decimal"/>
      <w:isLgl/>
      <w:lvlText w:val="%1.%2.%3.%4.%5.%6.%7"/>
      <w:lvlJc w:val="left"/>
      <w:pPr>
        <w:tabs>
          <w:tab w:val="num" w:pos="3578"/>
        </w:tabs>
        <w:ind w:left="3578" w:hanging="1440"/>
      </w:pPr>
      <w:rPr>
        <w:rFonts w:hint="default"/>
      </w:rPr>
    </w:lvl>
    <w:lvl w:ilvl="7">
      <w:start w:val="1"/>
      <w:numFmt w:val="decimal"/>
      <w:isLgl/>
      <w:lvlText w:val="%1.%2.%3.%4.%5.%6.%7.%8"/>
      <w:lvlJc w:val="left"/>
      <w:pPr>
        <w:tabs>
          <w:tab w:val="num" w:pos="3938"/>
        </w:tabs>
        <w:ind w:left="3938" w:hanging="1800"/>
      </w:pPr>
      <w:rPr>
        <w:rFonts w:hint="default"/>
      </w:rPr>
    </w:lvl>
    <w:lvl w:ilvl="8">
      <w:start w:val="1"/>
      <w:numFmt w:val="decimal"/>
      <w:isLgl/>
      <w:lvlText w:val="%1.%2.%3.%4.%5.%6.%7.%8.%9"/>
      <w:lvlJc w:val="left"/>
      <w:pPr>
        <w:tabs>
          <w:tab w:val="num" w:pos="3938"/>
        </w:tabs>
        <w:ind w:left="3938" w:hanging="1800"/>
      </w:pPr>
      <w:rPr>
        <w:rFonts w:hint="default"/>
      </w:rPr>
    </w:lvl>
  </w:abstractNum>
  <w:abstractNum w:abstractNumId="19" w15:restartNumberingAfterBreak="0">
    <w:nsid w:val="66326C0E"/>
    <w:multiLevelType w:val="hybridMultilevel"/>
    <w:tmpl w:val="24FC1F0A"/>
    <w:lvl w:ilvl="0" w:tplc="08090001">
      <w:start w:val="1"/>
      <w:numFmt w:val="bullet"/>
      <w:pStyle w:val="BulletListX1"/>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83210B9"/>
    <w:multiLevelType w:val="hybridMultilevel"/>
    <w:tmpl w:val="E6E8F1FC"/>
    <w:lvl w:ilvl="0" w:tplc="D2A0D1FA">
      <w:start w:val="1"/>
      <w:numFmt w:val="decimal"/>
      <w:lvlText w:val="(%1)"/>
      <w:lvlJc w:val="left"/>
      <w:pPr>
        <w:ind w:left="6173"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6D7452B6"/>
    <w:multiLevelType w:val="hybridMultilevel"/>
    <w:tmpl w:val="D2FA7A9E"/>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C6A48FA"/>
    <w:multiLevelType w:val="multilevel"/>
    <w:tmpl w:val="4A8081CC"/>
    <w:lvl w:ilvl="0">
      <w:start w:val="1"/>
      <w:numFmt w:val="decimal"/>
      <w:lvlText w:val="%1."/>
      <w:lvlJc w:val="left"/>
      <w:pPr>
        <w:ind w:left="720" w:hanging="360"/>
      </w:pPr>
      <w:rPr>
        <w:rFonts w:hint="default"/>
        <w:b/>
        <w:bCs/>
        <w:sz w:val="36"/>
        <w:szCs w:val="36"/>
      </w:rPr>
    </w:lvl>
    <w:lvl w:ilvl="1">
      <w:numFmt w:val="decimal"/>
      <w:isLgl/>
      <w:lvlText w:val="%1.%2"/>
      <w:lvlJc w:val="left"/>
      <w:pPr>
        <w:ind w:left="1288"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3" w15:restartNumberingAfterBreak="0">
    <w:nsid w:val="7F8F6FAB"/>
    <w:multiLevelType w:val="multilevel"/>
    <w:tmpl w:val="0809001F"/>
    <w:styleLink w:val="111111"/>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16cid:durableId="731781232">
    <w:abstractNumId w:val="8"/>
  </w:num>
  <w:num w:numId="2" w16cid:durableId="380594232">
    <w:abstractNumId w:val="6"/>
  </w:num>
  <w:num w:numId="3" w16cid:durableId="1347514832">
    <w:abstractNumId w:val="17"/>
  </w:num>
  <w:num w:numId="4" w16cid:durableId="1124345568">
    <w:abstractNumId w:val="14"/>
  </w:num>
  <w:num w:numId="5" w16cid:durableId="1805543670">
    <w:abstractNumId w:val="23"/>
  </w:num>
  <w:num w:numId="6" w16cid:durableId="1722636430">
    <w:abstractNumId w:val="18"/>
  </w:num>
  <w:num w:numId="7" w16cid:durableId="1442266351">
    <w:abstractNumId w:val="0"/>
  </w:num>
  <w:num w:numId="8" w16cid:durableId="659651262">
    <w:abstractNumId w:val="9"/>
  </w:num>
  <w:num w:numId="9" w16cid:durableId="31199212">
    <w:abstractNumId w:val="5"/>
  </w:num>
  <w:num w:numId="10" w16cid:durableId="1195464234">
    <w:abstractNumId w:val="19"/>
  </w:num>
  <w:num w:numId="11" w16cid:durableId="582104329">
    <w:abstractNumId w:val="20"/>
  </w:num>
  <w:num w:numId="12" w16cid:durableId="2066562467">
    <w:abstractNumId w:val="13"/>
  </w:num>
  <w:num w:numId="13" w16cid:durableId="1729917135">
    <w:abstractNumId w:val="11"/>
  </w:num>
  <w:num w:numId="14" w16cid:durableId="1551839774">
    <w:abstractNumId w:val="3"/>
  </w:num>
  <w:num w:numId="15" w16cid:durableId="66877581">
    <w:abstractNumId w:val="7"/>
  </w:num>
  <w:num w:numId="16" w16cid:durableId="1745758270">
    <w:abstractNumId w:val="22"/>
  </w:num>
  <w:num w:numId="17" w16cid:durableId="284313407">
    <w:abstractNumId w:val="2"/>
  </w:num>
  <w:num w:numId="18" w16cid:durableId="1585065490">
    <w:abstractNumId w:val="12"/>
  </w:num>
  <w:num w:numId="19" w16cid:durableId="1936016366">
    <w:abstractNumId w:val="1"/>
  </w:num>
  <w:num w:numId="20" w16cid:durableId="305666182">
    <w:abstractNumId w:val="15"/>
  </w:num>
  <w:num w:numId="21" w16cid:durableId="1638072672">
    <w:abstractNumId w:val="21"/>
  </w:num>
  <w:num w:numId="22" w16cid:durableId="1869443995">
    <w:abstractNumId w:val="10"/>
  </w:num>
  <w:num w:numId="23" w16cid:durableId="1208838324">
    <w:abstractNumId w:val="4"/>
  </w:num>
  <w:num w:numId="24" w16cid:durableId="963468540">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094"/>
    <w:rsid w:val="000014BC"/>
    <w:rsid w:val="000017A2"/>
    <w:rsid w:val="0000404C"/>
    <w:rsid w:val="00010015"/>
    <w:rsid w:val="00010604"/>
    <w:rsid w:val="0001178D"/>
    <w:rsid w:val="00011B8F"/>
    <w:rsid w:val="000120DC"/>
    <w:rsid w:val="00012932"/>
    <w:rsid w:val="00016C7D"/>
    <w:rsid w:val="00020E51"/>
    <w:rsid w:val="00021EB6"/>
    <w:rsid w:val="00022440"/>
    <w:rsid w:val="000236E4"/>
    <w:rsid w:val="00026943"/>
    <w:rsid w:val="000276CE"/>
    <w:rsid w:val="0002780B"/>
    <w:rsid w:val="0003320F"/>
    <w:rsid w:val="00034554"/>
    <w:rsid w:val="00035673"/>
    <w:rsid w:val="000364F6"/>
    <w:rsid w:val="00036F4F"/>
    <w:rsid w:val="000408E8"/>
    <w:rsid w:val="0004198E"/>
    <w:rsid w:val="00041EBB"/>
    <w:rsid w:val="00043ADA"/>
    <w:rsid w:val="00043B32"/>
    <w:rsid w:val="000477E2"/>
    <w:rsid w:val="00050060"/>
    <w:rsid w:val="00052BE1"/>
    <w:rsid w:val="0005305E"/>
    <w:rsid w:val="00053B88"/>
    <w:rsid w:val="00056C2E"/>
    <w:rsid w:val="0006205D"/>
    <w:rsid w:val="0006237B"/>
    <w:rsid w:val="000651DD"/>
    <w:rsid w:val="0006648E"/>
    <w:rsid w:val="000704E7"/>
    <w:rsid w:val="000705C7"/>
    <w:rsid w:val="000757F4"/>
    <w:rsid w:val="0008345A"/>
    <w:rsid w:val="00084805"/>
    <w:rsid w:val="00084F64"/>
    <w:rsid w:val="00085035"/>
    <w:rsid w:val="000858B8"/>
    <w:rsid w:val="000901D1"/>
    <w:rsid w:val="00090CA1"/>
    <w:rsid w:val="00091CF5"/>
    <w:rsid w:val="00095438"/>
    <w:rsid w:val="000957AA"/>
    <w:rsid w:val="0009798F"/>
    <w:rsid w:val="000A1496"/>
    <w:rsid w:val="000A2447"/>
    <w:rsid w:val="000A34C1"/>
    <w:rsid w:val="000A366A"/>
    <w:rsid w:val="000A40F3"/>
    <w:rsid w:val="000A50FE"/>
    <w:rsid w:val="000A57C7"/>
    <w:rsid w:val="000A6979"/>
    <w:rsid w:val="000A731A"/>
    <w:rsid w:val="000B1A95"/>
    <w:rsid w:val="000B3353"/>
    <w:rsid w:val="000B58C1"/>
    <w:rsid w:val="000B64FC"/>
    <w:rsid w:val="000B7C10"/>
    <w:rsid w:val="000C0D72"/>
    <w:rsid w:val="000C3CE6"/>
    <w:rsid w:val="000C3F83"/>
    <w:rsid w:val="000C4394"/>
    <w:rsid w:val="000C4457"/>
    <w:rsid w:val="000C523F"/>
    <w:rsid w:val="000D0437"/>
    <w:rsid w:val="000D0AD3"/>
    <w:rsid w:val="000D1404"/>
    <w:rsid w:val="000D2475"/>
    <w:rsid w:val="000D32D3"/>
    <w:rsid w:val="000D3989"/>
    <w:rsid w:val="000D56F9"/>
    <w:rsid w:val="000D5C86"/>
    <w:rsid w:val="000D63AF"/>
    <w:rsid w:val="000D6E1D"/>
    <w:rsid w:val="000E21D6"/>
    <w:rsid w:val="000E2959"/>
    <w:rsid w:val="000E41DE"/>
    <w:rsid w:val="000E5FC7"/>
    <w:rsid w:val="000F19CD"/>
    <w:rsid w:val="000F304A"/>
    <w:rsid w:val="001009BD"/>
    <w:rsid w:val="0010432A"/>
    <w:rsid w:val="00104884"/>
    <w:rsid w:val="00105126"/>
    <w:rsid w:val="001055B3"/>
    <w:rsid w:val="001057FE"/>
    <w:rsid w:val="0011777E"/>
    <w:rsid w:val="0012140B"/>
    <w:rsid w:val="001237EC"/>
    <w:rsid w:val="00123A1C"/>
    <w:rsid w:val="0012512D"/>
    <w:rsid w:val="0012618A"/>
    <w:rsid w:val="0012661D"/>
    <w:rsid w:val="00127B13"/>
    <w:rsid w:val="00133647"/>
    <w:rsid w:val="00134585"/>
    <w:rsid w:val="001361CC"/>
    <w:rsid w:val="00140252"/>
    <w:rsid w:val="00146D88"/>
    <w:rsid w:val="00147245"/>
    <w:rsid w:val="00147D95"/>
    <w:rsid w:val="00150D06"/>
    <w:rsid w:val="001555D8"/>
    <w:rsid w:val="001559DE"/>
    <w:rsid w:val="0015623B"/>
    <w:rsid w:val="00157C6B"/>
    <w:rsid w:val="001610CA"/>
    <w:rsid w:val="00161E3F"/>
    <w:rsid w:val="00162785"/>
    <w:rsid w:val="00163B5B"/>
    <w:rsid w:val="00163E51"/>
    <w:rsid w:val="00165A92"/>
    <w:rsid w:val="001673AE"/>
    <w:rsid w:val="00170765"/>
    <w:rsid w:val="00170DCE"/>
    <w:rsid w:val="00171D3D"/>
    <w:rsid w:val="00171DAC"/>
    <w:rsid w:val="00172C0F"/>
    <w:rsid w:val="0018044F"/>
    <w:rsid w:val="00181865"/>
    <w:rsid w:val="00181D5A"/>
    <w:rsid w:val="00182C72"/>
    <w:rsid w:val="00184883"/>
    <w:rsid w:val="00186321"/>
    <w:rsid w:val="00192813"/>
    <w:rsid w:val="00193E00"/>
    <w:rsid w:val="00195E3E"/>
    <w:rsid w:val="001970A5"/>
    <w:rsid w:val="001A0160"/>
    <w:rsid w:val="001A11E5"/>
    <w:rsid w:val="001A260D"/>
    <w:rsid w:val="001A2A3A"/>
    <w:rsid w:val="001A4112"/>
    <w:rsid w:val="001A459E"/>
    <w:rsid w:val="001A64A8"/>
    <w:rsid w:val="001B3A71"/>
    <w:rsid w:val="001B3CCD"/>
    <w:rsid w:val="001B405C"/>
    <w:rsid w:val="001B56AF"/>
    <w:rsid w:val="001B724E"/>
    <w:rsid w:val="001C2D0D"/>
    <w:rsid w:val="001C47E0"/>
    <w:rsid w:val="001C6B5F"/>
    <w:rsid w:val="001C7C60"/>
    <w:rsid w:val="001D1EFE"/>
    <w:rsid w:val="001D232B"/>
    <w:rsid w:val="001D4DDE"/>
    <w:rsid w:val="001D6697"/>
    <w:rsid w:val="001D6D6F"/>
    <w:rsid w:val="001E21C0"/>
    <w:rsid w:val="001E46A8"/>
    <w:rsid w:val="001E7513"/>
    <w:rsid w:val="001E7638"/>
    <w:rsid w:val="001E7AF9"/>
    <w:rsid w:val="001F4897"/>
    <w:rsid w:val="001F6B0E"/>
    <w:rsid w:val="001F779C"/>
    <w:rsid w:val="00201B01"/>
    <w:rsid w:val="00204782"/>
    <w:rsid w:val="00206B8F"/>
    <w:rsid w:val="00207A78"/>
    <w:rsid w:val="00207E3C"/>
    <w:rsid w:val="0020D9C2"/>
    <w:rsid w:val="00211735"/>
    <w:rsid w:val="002120D2"/>
    <w:rsid w:val="002134C1"/>
    <w:rsid w:val="00215CF6"/>
    <w:rsid w:val="00220A91"/>
    <w:rsid w:val="00221CD1"/>
    <w:rsid w:val="00223A0A"/>
    <w:rsid w:val="0022437C"/>
    <w:rsid w:val="0022687A"/>
    <w:rsid w:val="002326E2"/>
    <w:rsid w:val="002359DB"/>
    <w:rsid w:val="0023682A"/>
    <w:rsid w:val="00236905"/>
    <w:rsid w:val="00243EB3"/>
    <w:rsid w:val="002461CE"/>
    <w:rsid w:val="00246B2D"/>
    <w:rsid w:val="00250E24"/>
    <w:rsid w:val="00254298"/>
    <w:rsid w:val="00255494"/>
    <w:rsid w:val="00256EE8"/>
    <w:rsid w:val="00261ADF"/>
    <w:rsid w:val="0026423D"/>
    <w:rsid w:val="00265217"/>
    <w:rsid w:val="002701E6"/>
    <w:rsid w:val="002713E1"/>
    <w:rsid w:val="002776B6"/>
    <w:rsid w:val="0028119C"/>
    <w:rsid w:val="00281C63"/>
    <w:rsid w:val="00283C68"/>
    <w:rsid w:val="00286542"/>
    <w:rsid w:val="0029010A"/>
    <w:rsid w:val="002916A8"/>
    <w:rsid w:val="002952F8"/>
    <w:rsid w:val="00296905"/>
    <w:rsid w:val="00296DDD"/>
    <w:rsid w:val="00297753"/>
    <w:rsid w:val="00297AC7"/>
    <w:rsid w:val="002A1E3E"/>
    <w:rsid w:val="002A28E7"/>
    <w:rsid w:val="002A3C7F"/>
    <w:rsid w:val="002A3D62"/>
    <w:rsid w:val="002A56F4"/>
    <w:rsid w:val="002A5F9D"/>
    <w:rsid w:val="002A71C5"/>
    <w:rsid w:val="002B3EB5"/>
    <w:rsid w:val="002B447B"/>
    <w:rsid w:val="002C1229"/>
    <w:rsid w:val="002C227F"/>
    <w:rsid w:val="002C22BA"/>
    <w:rsid w:val="002C29F8"/>
    <w:rsid w:val="002C5FBB"/>
    <w:rsid w:val="002C65BE"/>
    <w:rsid w:val="002D0402"/>
    <w:rsid w:val="002D2660"/>
    <w:rsid w:val="002D3E74"/>
    <w:rsid w:val="002D580E"/>
    <w:rsid w:val="002E1505"/>
    <w:rsid w:val="002E3A05"/>
    <w:rsid w:val="002E61BF"/>
    <w:rsid w:val="002E7659"/>
    <w:rsid w:val="002F0D4F"/>
    <w:rsid w:val="002F2D22"/>
    <w:rsid w:val="002F346A"/>
    <w:rsid w:val="002F7973"/>
    <w:rsid w:val="003001D0"/>
    <w:rsid w:val="0030042C"/>
    <w:rsid w:val="00304752"/>
    <w:rsid w:val="003047B3"/>
    <w:rsid w:val="00305CFE"/>
    <w:rsid w:val="003069F0"/>
    <w:rsid w:val="00311113"/>
    <w:rsid w:val="00312FE8"/>
    <w:rsid w:val="0031726B"/>
    <w:rsid w:val="00321713"/>
    <w:rsid w:val="0032288E"/>
    <w:rsid w:val="003231A5"/>
    <w:rsid w:val="0033006C"/>
    <w:rsid w:val="00331118"/>
    <w:rsid w:val="00334070"/>
    <w:rsid w:val="00340481"/>
    <w:rsid w:val="00342110"/>
    <w:rsid w:val="00345CE1"/>
    <w:rsid w:val="00347B1D"/>
    <w:rsid w:val="00350717"/>
    <w:rsid w:val="00351D71"/>
    <w:rsid w:val="003538AB"/>
    <w:rsid w:val="0035420F"/>
    <w:rsid w:val="003548C7"/>
    <w:rsid w:val="00354AA3"/>
    <w:rsid w:val="00357390"/>
    <w:rsid w:val="00362672"/>
    <w:rsid w:val="0036277D"/>
    <w:rsid w:val="00362C90"/>
    <w:rsid w:val="00363174"/>
    <w:rsid w:val="00363BCD"/>
    <w:rsid w:val="00363DB1"/>
    <w:rsid w:val="00363DCE"/>
    <w:rsid w:val="003641DD"/>
    <w:rsid w:val="003666D8"/>
    <w:rsid w:val="0037064B"/>
    <w:rsid w:val="003714B2"/>
    <w:rsid w:val="00371A49"/>
    <w:rsid w:val="003723AF"/>
    <w:rsid w:val="0037260D"/>
    <w:rsid w:val="00372A35"/>
    <w:rsid w:val="0037308A"/>
    <w:rsid w:val="003738C4"/>
    <w:rsid w:val="00374316"/>
    <w:rsid w:val="00375F0E"/>
    <w:rsid w:val="0037600D"/>
    <w:rsid w:val="00382201"/>
    <w:rsid w:val="00383EE5"/>
    <w:rsid w:val="00384A40"/>
    <w:rsid w:val="0038557E"/>
    <w:rsid w:val="00387857"/>
    <w:rsid w:val="00387F34"/>
    <w:rsid w:val="003914B1"/>
    <w:rsid w:val="00392F40"/>
    <w:rsid w:val="0039461D"/>
    <w:rsid w:val="00397F62"/>
    <w:rsid w:val="003A06FF"/>
    <w:rsid w:val="003A2A9A"/>
    <w:rsid w:val="003A4EDF"/>
    <w:rsid w:val="003A57CF"/>
    <w:rsid w:val="003A6134"/>
    <w:rsid w:val="003A759B"/>
    <w:rsid w:val="003A7CD4"/>
    <w:rsid w:val="003C0E5F"/>
    <w:rsid w:val="003C2B26"/>
    <w:rsid w:val="003C3104"/>
    <w:rsid w:val="003C675F"/>
    <w:rsid w:val="003C6A39"/>
    <w:rsid w:val="003C73CF"/>
    <w:rsid w:val="003C740B"/>
    <w:rsid w:val="003D03E5"/>
    <w:rsid w:val="003D0ACC"/>
    <w:rsid w:val="003D2F69"/>
    <w:rsid w:val="003D3584"/>
    <w:rsid w:val="003D4F8A"/>
    <w:rsid w:val="003D5430"/>
    <w:rsid w:val="003D6458"/>
    <w:rsid w:val="003D6E58"/>
    <w:rsid w:val="003E01FC"/>
    <w:rsid w:val="003E1CCC"/>
    <w:rsid w:val="003E3D11"/>
    <w:rsid w:val="003F2CDE"/>
    <w:rsid w:val="003F2EEB"/>
    <w:rsid w:val="003F4A31"/>
    <w:rsid w:val="00400141"/>
    <w:rsid w:val="0040092D"/>
    <w:rsid w:val="00400DD9"/>
    <w:rsid w:val="004038DD"/>
    <w:rsid w:val="00405C60"/>
    <w:rsid w:val="00406CC4"/>
    <w:rsid w:val="00411217"/>
    <w:rsid w:val="004117D8"/>
    <w:rsid w:val="0041222B"/>
    <w:rsid w:val="00414CBF"/>
    <w:rsid w:val="0041500F"/>
    <w:rsid w:val="00417E7E"/>
    <w:rsid w:val="00423712"/>
    <w:rsid w:val="0042660C"/>
    <w:rsid w:val="00430BA7"/>
    <w:rsid w:val="00432222"/>
    <w:rsid w:val="004337C5"/>
    <w:rsid w:val="0044027F"/>
    <w:rsid w:val="00442318"/>
    <w:rsid w:val="004432E6"/>
    <w:rsid w:val="004436D0"/>
    <w:rsid w:val="00444B67"/>
    <w:rsid w:val="00445C7E"/>
    <w:rsid w:val="00446B26"/>
    <w:rsid w:val="00446D16"/>
    <w:rsid w:val="00450181"/>
    <w:rsid w:val="0045226E"/>
    <w:rsid w:val="0045294F"/>
    <w:rsid w:val="0045556C"/>
    <w:rsid w:val="0046094C"/>
    <w:rsid w:val="0046239F"/>
    <w:rsid w:val="004662B0"/>
    <w:rsid w:val="00470B87"/>
    <w:rsid w:val="00471070"/>
    <w:rsid w:val="00473AC2"/>
    <w:rsid w:val="00473E45"/>
    <w:rsid w:val="0047415A"/>
    <w:rsid w:val="004749AF"/>
    <w:rsid w:val="00475066"/>
    <w:rsid w:val="00475FA4"/>
    <w:rsid w:val="00476223"/>
    <w:rsid w:val="00481535"/>
    <w:rsid w:val="004A5744"/>
    <w:rsid w:val="004A6230"/>
    <w:rsid w:val="004A6A14"/>
    <w:rsid w:val="004A705B"/>
    <w:rsid w:val="004A7E8E"/>
    <w:rsid w:val="004B0B33"/>
    <w:rsid w:val="004B0B93"/>
    <w:rsid w:val="004B2BD0"/>
    <w:rsid w:val="004B4E8F"/>
    <w:rsid w:val="004B5953"/>
    <w:rsid w:val="004B60D1"/>
    <w:rsid w:val="004C1BEA"/>
    <w:rsid w:val="004C6F8A"/>
    <w:rsid w:val="004C73A5"/>
    <w:rsid w:val="004D41D2"/>
    <w:rsid w:val="004D4F06"/>
    <w:rsid w:val="004D5B4D"/>
    <w:rsid w:val="004D64B4"/>
    <w:rsid w:val="004D6AD4"/>
    <w:rsid w:val="004D7911"/>
    <w:rsid w:val="004E1472"/>
    <w:rsid w:val="004E18F2"/>
    <w:rsid w:val="004E414A"/>
    <w:rsid w:val="004E46A1"/>
    <w:rsid w:val="004E6457"/>
    <w:rsid w:val="004E7E41"/>
    <w:rsid w:val="004F114D"/>
    <w:rsid w:val="004F19A3"/>
    <w:rsid w:val="004F4B44"/>
    <w:rsid w:val="004F5BCD"/>
    <w:rsid w:val="004F655D"/>
    <w:rsid w:val="00503488"/>
    <w:rsid w:val="00505BC1"/>
    <w:rsid w:val="00506B9B"/>
    <w:rsid w:val="005074EF"/>
    <w:rsid w:val="0051018D"/>
    <w:rsid w:val="00510730"/>
    <w:rsid w:val="00512610"/>
    <w:rsid w:val="00514305"/>
    <w:rsid w:val="00514DA5"/>
    <w:rsid w:val="005159E4"/>
    <w:rsid w:val="00517646"/>
    <w:rsid w:val="00520512"/>
    <w:rsid w:val="00521948"/>
    <w:rsid w:val="00521C05"/>
    <w:rsid w:val="00522057"/>
    <w:rsid w:val="005222A9"/>
    <w:rsid w:val="005234DF"/>
    <w:rsid w:val="00523EDA"/>
    <w:rsid w:val="005260F6"/>
    <w:rsid w:val="00526EB2"/>
    <w:rsid w:val="00530999"/>
    <w:rsid w:val="00533545"/>
    <w:rsid w:val="00540245"/>
    <w:rsid w:val="005407A0"/>
    <w:rsid w:val="0054119B"/>
    <w:rsid w:val="005444E2"/>
    <w:rsid w:val="005456A6"/>
    <w:rsid w:val="00546587"/>
    <w:rsid w:val="00546CD8"/>
    <w:rsid w:val="0054796B"/>
    <w:rsid w:val="00556A89"/>
    <w:rsid w:val="0056293E"/>
    <w:rsid w:val="0056333F"/>
    <w:rsid w:val="00566A13"/>
    <w:rsid w:val="00567D77"/>
    <w:rsid w:val="005710FD"/>
    <w:rsid w:val="00574C4E"/>
    <w:rsid w:val="00575620"/>
    <w:rsid w:val="00575A53"/>
    <w:rsid w:val="005760AC"/>
    <w:rsid w:val="00576736"/>
    <w:rsid w:val="00581281"/>
    <w:rsid w:val="00583253"/>
    <w:rsid w:val="00584F85"/>
    <w:rsid w:val="00586C2A"/>
    <w:rsid w:val="00592891"/>
    <w:rsid w:val="00592D59"/>
    <w:rsid w:val="00592FAF"/>
    <w:rsid w:val="00593B1F"/>
    <w:rsid w:val="00594D16"/>
    <w:rsid w:val="005969FD"/>
    <w:rsid w:val="00597E4F"/>
    <w:rsid w:val="005A061E"/>
    <w:rsid w:val="005A1A37"/>
    <w:rsid w:val="005A3F2E"/>
    <w:rsid w:val="005B0EEA"/>
    <w:rsid w:val="005B164C"/>
    <w:rsid w:val="005B190F"/>
    <w:rsid w:val="005B1C46"/>
    <w:rsid w:val="005B1FD4"/>
    <w:rsid w:val="005B317F"/>
    <w:rsid w:val="005B3DEF"/>
    <w:rsid w:val="005B7758"/>
    <w:rsid w:val="005C0555"/>
    <w:rsid w:val="005C10EF"/>
    <w:rsid w:val="005C13A7"/>
    <w:rsid w:val="005C2F71"/>
    <w:rsid w:val="005C4BF6"/>
    <w:rsid w:val="005D26D8"/>
    <w:rsid w:val="005D358C"/>
    <w:rsid w:val="005D3C64"/>
    <w:rsid w:val="005D3D9B"/>
    <w:rsid w:val="005D4A97"/>
    <w:rsid w:val="005E0381"/>
    <w:rsid w:val="005E1EF5"/>
    <w:rsid w:val="005E49FD"/>
    <w:rsid w:val="005E5360"/>
    <w:rsid w:val="005E61AB"/>
    <w:rsid w:val="005E6689"/>
    <w:rsid w:val="005E715B"/>
    <w:rsid w:val="005E7D98"/>
    <w:rsid w:val="005F233F"/>
    <w:rsid w:val="005F4080"/>
    <w:rsid w:val="005F7CF2"/>
    <w:rsid w:val="006031F4"/>
    <w:rsid w:val="00603EC8"/>
    <w:rsid w:val="006047AF"/>
    <w:rsid w:val="0060625C"/>
    <w:rsid w:val="00606839"/>
    <w:rsid w:val="00621771"/>
    <w:rsid w:val="00623878"/>
    <w:rsid w:val="00624E59"/>
    <w:rsid w:val="0062775B"/>
    <w:rsid w:val="006278F5"/>
    <w:rsid w:val="00627C59"/>
    <w:rsid w:val="006311D3"/>
    <w:rsid w:val="00636199"/>
    <w:rsid w:val="00637577"/>
    <w:rsid w:val="00637DA3"/>
    <w:rsid w:val="0064076D"/>
    <w:rsid w:val="00641906"/>
    <w:rsid w:val="00641E81"/>
    <w:rsid w:val="006431D1"/>
    <w:rsid w:val="00643370"/>
    <w:rsid w:val="006434AF"/>
    <w:rsid w:val="00645338"/>
    <w:rsid w:val="00646DB0"/>
    <w:rsid w:val="006511AF"/>
    <w:rsid w:val="006511E0"/>
    <w:rsid w:val="00651D76"/>
    <w:rsid w:val="00660C30"/>
    <w:rsid w:val="00663566"/>
    <w:rsid w:val="006648F2"/>
    <w:rsid w:val="00672838"/>
    <w:rsid w:val="006734D5"/>
    <w:rsid w:val="006742F2"/>
    <w:rsid w:val="00676BF4"/>
    <w:rsid w:val="006774C3"/>
    <w:rsid w:val="00677859"/>
    <w:rsid w:val="0068031D"/>
    <w:rsid w:val="00680552"/>
    <w:rsid w:val="006825A6"/>
    <w:rsid w:val="00686625"/>
    <w:rsid w:val="00687DDB"/>
    <w:rsid w:val="00690116"/>
    <w:rsid w:val="00690A22"/>
    <w:rsid w:val="00691E8D"/>
    <w:rsid w:val="00693E52"/>
    <w:rsid w:val="0069547A"/>
    <w:rsid w:val="006970E3"/>
    <w:rsid w:val="006973DB"/>
    <w:rsid w:val="006A046A"/>
    <w:rsid w:val="006A3603"/>
    <w:rsid w:val="006A406B"/>
    <w:rsid w:val="006B4049"/>
    <w:rsid w:val="006B6719"/>
    <w:rsid w:val="006C0F4B"/>
    <w:rsid w:val="006C3C8B"/>
    <w:rsid w:val="006C44FE"/>
    <w:rsid w:val="006C4897"/>
    <w:rsid w:val="006C4EBB"/>
    <w:rsid w:val="006D011A"/>
    <w:rsid w:val="006D25A0"/>
    <w:rsid w:val="006D3FC0"/>
    <w:rsid w:val="006D4199"/>
    <w:rsid w:val="006D42AA"/>
    <w:rsid w:val="006D49FF"/>
    <w:rsid w:val="006D507E"/>
    <w:rsid w:val="006D7337"/>
    <w:rsid w:val="006D75E3"/>
    <w:rsid w:val="006E2E30"/>
    <w:rsid w:val="006E49E0"/>
    <w:rsid w:val="006E72D0"/>
    <w:rsid w:val="006F28DA"/>
    <w:rsid w:val="006F2BB3"/>
    <w:rsid w:val="006F7187"/>
    <w:rsid w:val="006F741D"/>
    <w:rsid w:val="007018D8"/>
    <w:rsid w:val="00701AEF"/>
    <w:rsid w:val="0070299E"/>
    <w:rsid w:val="007037EC"/>
    <w:rsid w:val="00703863"/>
    <w:rsid w:val="00707479"/>
    <w:rsid w:val="0071216D"/>
    <w:rsid w:val="00712867"/>
    <w:rsid w:val="00714289"/>
    <w:rsid w:val="007144CD"/>
    <w:rsid w:val="00717D36"/>
    <w:rsid w:val="00720E3A"/>
    <w:rsid w:val="00722A60"/>
    <w:rsid w:val="007236B3"/>
    <w:rsid w:val="00725AFF"/>
    <w:rsid w:val="00725B38"/>
    <w:rsid w:val="00731E6D"/>
    <w:rsid w:val="00732C4D"/>
    <w:rsid w:val="00736AEF"/>
    <w:rsid w:val="00743650"/>
    <w:rsid w:val="00743711"/>
    <w:rsid w:val="00744D4C"/>
    <w:rsid w:val="0074596D"/>
    <w:rsid w:val="0074649C"/>
    <w:rsid w:val="007475BF"/>
    <w:rsid w:val="00747B75"/>
    <w:rsid w:val="00752224"/>
    <w:rsid w:val="007531F5"/>
    <w:rsid w:val="00753400"/>
    <w:rsid w:val="00753ABF"/>
    <w:rsid w:val="007564B1"/>
    <w:rsid w:val="007567DC"/>
    <w:rsid w:val="00762004"/>
    <w:rsid w:val="007707F4"/>
    <w:rsid w:val="00772899"/>
    <w:rsid w:val="00772D61"/>
    <w:rsid w:val="007773C8"/>
    <w:rsid w:val="00777494"/>
    <w:rsid w:val="00780550"/>
    <w:rsid w:val="00786AC0"/>
    <w:rsid w:val="00786F1F"/>
    <w:rsid w:val="0078705A"/>
    <w:rsid w:val="007879E0"/>
    <w:rsid w:val="00787B10"/>
    <w:rsid w:val="00790198"/>
    <w:rsid w:val="007940F9"/>
    <w:rsid w:val="00796DD2"/>
    <w:rsid w:val="0079783B"/>
    <w:rsid w:val="007A26AB"/>
    <w:rsid w:val="007B17DF"/>
    <w:rsid w:val="007B29A9"/>
    <w:rsid w:val="007B2CEC"/>
    <w:rsid w:val="007B479B"/>
    <w:rsid w:val="007B5840"/>
    <w:rsid w:val="007C10ED"/>
    <w:rsid w:val="007C1CE2"/>
    <w:rsid w:val="007C1E32"/>
    <w:rsid w:val="007C349F"/>
    <w:rsid w:val="007C3BB3"/>
    <w:rsid w:val="007C6B91"/>
    <w:rsid w:val="007D0F97"/>
    <w:rsid w:val="007D3226"/>
    <w:rsid w:val="007D42EA"/>
    <w:rsid w:val="007D4916"/>
    <w:rsid w:val="007D4B05"/>
    <w:rsid w:val="007D5BBE"/>
    <w:rsid w:val="007D7860"/>
    <w:rsid w:val="007E0733"/>
    <w:rsid w:val="007E2D22"/>
    <w:rsid w:val="007E3594"/>
    <w:rsid w:val="007E35DD"/>
    <w:rsid w:val="007E3A40"/>
    <w:rsid w:val="007E5687"/>
    <w:rsid w:val="007E5C4D"/>
    <w:rsid w:val="007E6A56"/>
    <w:rsid w:val="007E7A9B"/>
    <w:rsid w:val="007F112A"/>
    <w:rsid w:val="007F2094"/>
    <w:rsid w:val="007F2584"/>
    <w:rsid w:val="007F4387"/>
    <w:rsid w:val="007F5D81"/>
    <w:rsid w:val="007F6AFD"/>
    <w:rsid w:val="008031DA"/>
    <w:rsid w:val="00806558"/>
    <w:rsid w:val="0080714A"/>
    <w:rsid w:val="0081153C"/>
    <w:rsid w:val="00815CD3"/>
    <w:rsid w:val="00815D25"/>
    <w:rsid w:val="00824603"/>
    <w:rsid w:val="00824B89"/>
    <w:rsid w:val="00826091"/>
    <w:rsid w:val="00830094"/>
    <w:rsid w:val="00832A5A"/>
    <w:rsid w:val="00834BEE"/>
    <w:rsid w:val="00837483"/>
    <w:rsid w:val="00837595"/>
    <w:rsid w:val="008414CC"/>
    <w:rsid w:val="00841624"/>
    <w:rsid w:val="00844B9E"/>
    <w:rsid w:val="00845870"/>
    <w:rsid w:val="00845C61"/>
    <w:rsid w:val="00851E87"/>
    <w:rsid w:val="0085427E"/>
    <w:rsid w:val="0085604C"/>
    <w:rsid w:val="008603C9"/>
    <w:rsid w:val="00862DE1"/>
    <w:rsid w:val="00865145"/>
    <w:rsid w:val="008677CB"/>
    <w:rsid w:val="0086797F"/>
    <w:rsid w:val="00871EA8"/>
    <w:rsid w:val="00876D45"/>
    <w:rsid w:val="008771F9"/>
    <w:rsid w:val="00880AA4"/>
    <w:rsid w:val="00880B91"/>
    <w:rsid w:val="00882D5B"/>
    <w:rsid w:val="00882D62"/>
    <w:rsid w:val="008831D4"/>
    <w:rsid w:val="00883E2D"/>
    <w:rsid w:val="008914B4"/>
    <w:rsid w:val="00892F9A"/>
    <w:rsid w:val="00893F3D"/>
    <w:rsid w:val="00894D4F"/>
    <w:rsid w:val="00895EAB"/>
    <w:rsid w:val="008A4446"/>
    <w:rsid w:val="008A47BD"/>
    <w:rsid w:val="008A5F62"/>
    <w:rsid w:val="008A7BE0"/>
    <w:rsid w:val="008B4D74"/>
    <w:rsid w:val="008B5490"/>
    <w:rsid w:val="008C2C25"/>
    <w:rsid w:val="008C5E2E"/>
    <w:rsid w:val="008C78D4"/>
    <w:rsid w:val="008D1C74"/>
    <w:rsid w:val="008D4298"/>
    <w:rsid w:val="008D4959"/>
    <w:rsid w:val="008D4A99"/>
    <w:rsid w:val="008D4BFD"/>
    <w:rsid w:val="008D4ED0"/>
    <w:rsid w:val="008D5E8E"/>
    <w:rsid w:val="008E05F8"/>
    <w:rsid w:val="008E1956"/>
    <w:rsid w:val="008E3670"/>
    <w:rsid w:val="008E4D1D"/>
    <w:rsid w:val="008E5467"/>
    <w:rsid w:val="008E592D"/>
    <w:rsid w:val="008E696A"/>
    <w:rsid w:val="008E69D5"/>
    <w:rsid w:val="008E6BFA"/>
    <w:rsid w:val="008E7F57"/>
    <w:rsid w:val="008F0587"/>
    <w:rsid w:val="008F2C44"/>
    <w:rsid w:val="008F368F"/>
    <w:rsid w:val="008F3E1F"/>
    <w:rsid w:val="008F6FA4"/>
    <w:rsid w:val="009020B6"/>
    <w:rsid w:val="00905E03"/>
    <w:rsid w:val="0090615F"/>
    <w:rsid w:val="00907298"/>
    <w:rsid w:val="00907462"/>
    <w:rsid w:val="0091056C"/>
    <w:rsid w:val="00913A8D"/>
    <w:rsid w:val="00920472"/>
    <w:rsid w:val="00920ECA"/>
    <w:rsid w:val="00924F19"/>
    <w:rsid w:val="009252B5"/>
    <w:rsid w:val="00925BEE"/>
    <w:rsid w:val="00925C1F"/>
    <w:rsid w:val="00932C36"/>
    <w:rsid w:val="00933DED"/>
    <w:rsid w:val="00937CB5"/>
    <w:rsid w:val="0094347B"/>
    <w:rsid w:val="00943F00"/>
    <w:rsid w:val="009445F5"/>
    <w:rsid w:val="00947850"/>
    <w:rsid w:val="0095072C"/>
    <w:rsid w:val="009507D4"/>
    <w:rsid w:val="00951701"/>
    <w:rsid w:val="00951781"/>
    <w:rsid w:val="00953EA3"/>
    <w:rsid w:val="009560C0"/>
    <w:rsid w:val="00960EAF"/>
    <w:rsid w:val="009620D9"/>
    <w:rsid w:val="0096233E"/>
    <w:rsid w:val="00962594"/>
    <w:rsid w:val="009660E4"/>
    <w:rsid w:val="009664E5"/>
    <w:rsid w:val="00966902"/>
    <w:rsid w:val="00966E42"/>
    <w:rsid w:val="00970962"/>
    <w:rsid w:val="00972A5E"/>
    <w:rsid w:val="009737EE"/>
    <w:rsid w:val="00975229"/>
    <w:rsid w:val="00976341"/>
    <w:rsid w:val="00976D0C"/>
    <w:rsid w:val="0098074B"/>
    <w:rsid w:val="009838BA"/>
    <w:rsid w:val="0098425F"/>
    <w:rsid w:val="0098522F"/>
    <w:rsid w:val="009876C9"/>
    <w:rsid w:val="00987C37"/>
    <w:rsid w:val="00990702"/>
    <w:rsid w:val="009934CE"/>
    <w:rsid w:val="00993D19"/>
    <w:rsid w:val="00993FB2"/>
    <w:rsid w:val="0099469C"/>
    <w:rsid w:val="00994EBB"/>
    <w:rsid w:val="009A2021"/>
    <w:rsid w:val="009A2883"/>
    <w:rsid w:val="009A3E67"/>
    <w:rsid w:val="009A55D9"/>
    <w:rsid w:val="009A6C69"/>
    <w:rsid w:val="009B09F5"/>
    <w:rsid w:val="009B0EB6"/>
    <w:rsid w:val="009B14B0"/>
    <w:rsid w:val="009B2729"/>
    <w:rsid w:val="009B7190"/>
    <w:rsid w:val="009B73A9"/>
    <w:rsid w:val="009B7F57"/>
    <w:rsid w:val="009C464E"/>
    <w:rsid w:val="009C63D5"/>
    <w:rsid w:val="009C677E"/>
    <w:rsid w:val="009C7A79"/>
    <w:rsid w:val="009C7B7D"/>
    <w:rsid w:val="009D077C"/>
    <w:rsid w:val="009D1359"/>
    <w:rsid w:val="009D2159"/>
    <w:rsid w:val="009D26B1"/>
    <w:rsid w:val="009D383E"/>
    <w:rsid w:val="009D624A"/>
    <w:rsid w:val="009D7F46"/>
    <w:rsid w:val="009E0225"/>
    <w:rsid w:val="009E0C76"/>
    <w:rsid w:val="009E2E36"/>
    <w:rsid w:val="009E34CD"/>
    <w:rsid w:val="009E59CA"/>
    <w:rsid w:val="009E6D8B"/>
    <w:rsid w:val="009F2A8B"/>
    <w:rsid w:val="009F467A"/>
    <w:rsid w:val="00A0150A"/>
    <w:rsid w:val="00A02530"/>
    <w:rsid w:val="00A0332A"/>
    <w:rsid w:val="00A04098"/>
    <w:rsid w:val="00A062C4"/>
    <w:rsid w:val="00A10615"/>
    <w:rsid w:val="00A10A3E"/>
    <w:rsid w:val="00A13455"/>
    <w:rsid w:val="00A13C2D"/>
    <w:rsid w:val="00A14171"/>
    <w:rsid w:val="00A15555"/>
    <w:rsid w:val="00A16EBF"/>
    <w:rsid w:val="00A17844"/>
    <w:rsid w:val="00A17D8B"/>
    <w:rsid w:val="00A22C88"/>
    <w:rsid w:val="00A25C60"/>
    <w:rsid w:val="00A25E96"/>
    <w:rsid w:val="00A30011"/>
    <w:rsid w:val="00A350E7"/>
    <w:rsid w:val="00A36726"/>
    <w:rsid w:val="00A37366"/>
    <w:rsid w:val="00A377E7"/>
    <w:rsid w:val="00A40773"/>
    <w:rsid w:val="00A409B8"/>
    <w:rsid w:val="00A470A2"/>
    <w:rsid w:val="00A47A79"/>
    <w:rsid w:val="00A5289D"/>
    <w:rsid w:val="00A52B44"/>
    <w:rsid w:val="00A55BFD"/>
    <w:rsid w:val="00A57730"/>
    <w:rsid w:val="00A602D8"/>
    <w:rsid w:val="00A60BA8"/>
    <w:rsid w:val="00A627FE"/>
    <w:rsid w:val="00A62F45"/>
    <w:rsid w:val="00A67686"/>
    <w:rsid w:val="00A72F80"/>
    <w:rsid w:val="00A73CD8"/>
    <w:rsid w:val="00A759B2"/>
    <w:rsid w:val="00A84ABA"/>
    <w:rsid w:val="00A86560"/>
    <w:rsid w:val="00A87F48"/>
    <w:rsid w:val="00A914EB"/>
    <w:rsid w:val="00A91595"/>
    <w:rsid w:val="00A92906"/>
    <w:rsid w:val="00A9442E"/>
    <w:rsid w:val="00A96052"/>
    <w:rsid w:val="00A9700D"/>
    <w:rsid w:val="00A97ECC"/>
    <w:rsid w:val="00AA020C"/>
    <w:rsid w:val="00AA3249"/>
    <w:rsid w:val="00AA6804"/>
    <w:rsid w:val="00AB138A"/>
    <w:rsid w:val="00AB53C5"/>
    <w:rsid w:val="00AB6337"/>
    <w:rsid w:val="00AB669C"/>
    <w:rsid w:val="00AB7886"/>
    <w:rsid w:val="00AC2AFE"/>
    <w:rsid w:val="00AC4054"/>
    <w:rsid w:val="00AC4F80"/>
    <w:rsid w:val="00AC56CB"/>
    <w:rsid w:val="00AC796E"/>
    <w:rsid w:val="00AD0F07"/>
    <w:rsid w:val="00AD1524"/>
    <w:rsid w:val="00AD1E01"/>
    <w:rsid w:val="00AD1F17"/>
    <w:rsid w:val="00AD2354"/>
    <w:rsid w:val="00AD2373"/>
    <w:rsid w:val="00AD480E"/>
    <w:rsid w:val="00AD709B"/>
    <w:rsid w:val="00AD781E"/>
    <w:rsid w:val="00AD7D66"/>
    <w:rsid w:val="00AD7E4B"/>
    <w:rsid w:val="00AE05BB"/>
    <w:rsid w:val="00AE3415"/>
    <w:rsid w:val="00AE45C3"/>
    <w:rsid w:val="00AE531E"/>
    <w:rsid w:val="00AE6486"/>
    <w:rsid w:val="00AE7841"/>
    <w:rsid w:val="00AF0E25"/>
    <w:rsid w:val="00AF0E98"/>
    <w:rsid w:val="00AF327B"/>
    <w:rsid w:val="00B00025"/>
    <w:rsid w:val="00B00F47"/>
    <w:rsid w:val="00B0426F"/>
    <w:rsid w:val="00B04AD6"/>
    <w:rsid w:val="00B06C9A"/>
    <w:rsid w:val="00B07019"/>
    <w:rsid w:val="00B11C52"/>
    <w:rsid w:val="00B16B7F"/>
    <w:rsid w:val="00B207E0"/>
    <w:rsid w:val="00B2307D"/>
    <w:rsid w:val="00B319F3"/>
    <w:rsid w:val="00B321BC"/>
    <w:rsid w:val="00B34E46"/>
    <w:rsid w:val="00B36B6B"/>
    <w:rsid w:val="00B36B6F"/>
    <w:rsid w:val="00B37F7C"/>
    <w:rsid w:val="00B40AB7"/>
    <w:rsid w:val="00B40FA4"/>
    <w:rsid w:val="00B41193"/>
    <w:rsid w:val="00B41759"/>
    <w:rsid w:val="00B424BE"/>
    <w:rsid w:val="00B43596"/>
    <w:rsid w:val="00B4471A"/>
    <w:rsid w:val="00B44FF3"/>
    <w:rsid w:val="00B5023D"/>
    <w:rsid w:val="00B5137D"/>
    <w:rsid w:val="00B51542"/>
    <w:rsid w:val="00B52C7A"/>
    <w:rsid w:val="00B55E6F"/>
    <w:rsid w:val="00B57FFC"/>
    <w:rsid w:val="00B6245A"/>
    <w:rsid w:val="00B643B2"/>
    <w:rsid w:val="00B658EE"/>
    <w:rsid w:val="00B715DE"/>
    <w:rsid w:val="00B72119"/>
    <w:rsid w:val="00B73893"/>
    <w:rsid w:val="00B73FE0"/>
    <w:rsid w:val="00B902DA"/>
    <w:rsid w:val="00B94308"/>
    <w:rsid w:val="00B96AB7"/>
    <w:rsid w:val="00B96C89"/>
    <w:rsid w:val="00BA04FC"/>
    <w:rsid w:val="00BA0E28"/>
    <w:rsid w:val="00BA0EDF"/>
    <w:rsid w:val="00BA32C3"/>
    <w:rsid w:val="00BA3A2C"/>
    <w:rsid w:val="00BA3D0A"/>
    <w:rsid w:val="00BA4457"/>
    <w:rsid w:val="00BA5787"/>
    <w:rsid w:val="00BA593F"/>
    <w:rsid w:val="00BB1785"/>
    <w:rsid w:val="00BB1A7B"/>
    <w:rsid w:val="00BB2685"/>
    <w:rsid w:val="00BB29AA"/>
    <w:rsid w:val="00BB4014"/>
    <w:rsid w:val="00BB6DE2"/>
    <w:rsid w:val="00BB7721"/>
    <w:rsid w:val="00BB7BC4"/>
    <w:rsid w:val="00BC0CB7"/>
    <w:rsid w:val="00BC2062"/>
    <w:rsid w:val="00BC4A69"/>
    <w:rsid w:val="00BC59BB"/>
    <w:rsid w:val="00BC60AD"/>
    <w:rsid w:val="00BC63CA"/>
    <w:rsid w:val="00BC7C8A"/>
    <w:rsid w:val="00BC7CD0"/>
    <w:rsid w:val="00BD0B01"/>
    <w:rsid w:val="00BD315D"/>
    <w:rsid w:val="00BE6AB3"/>
    <w:rsid w:val="00BF2209"/>
    <w:rsid w:val="00BF2A0B"/>
    <w:rsid w:val="00BF418A"/>
    <w:rsid w:val="00BF460F"/>
    <w:rsid w:val="00BF4BD8"/>
    <w:rsid w:val="00C00038"/>
    <w:rsid w:val="00C0261C"/>
    <w:rsid w:val="00C03C08"/>
    <w:rsid w:val="00C0530C"/>
    <w:rsid w:val="00C113CF"/>
    <w:rsid w:val="00C123C0"/>
    <w:rsid w:val="00C12AFD"/>
    <w:rsid w:val="00C12FA9"/>
    <w:rsid w:val="00C13210"/>
    <w:rsid w:val="00C15A1B"/>
    <w:rsid w:val="00C211C7"/>
    <w:rsid w:val="00C22B0F"/>
    <w:rsid w:val="00C2490F"/>
    <w:rsid w:val="00C26272"/>
    <w:rsid w:val="00C262D6"/>
    <w:rsid w:val="00C32EE9"/>
    <w:rsid w:val="00C35571"/>
    <w:rsid w:val="00C35F26"/>
    <w:rsid w:val="00C36A50"/>
    <w:rsid w:val="00C37A5E"/>
    <w:rsid w:val="00C40959"/>
    <w:rsid w:val="00C42DD8"/>
    <w:rsid w:val="00C45CD4"/>
    <w:rsid w:val="00C45D48"/>
    <w:rsid w:val="00C52189"/>
    <w:rsid w:val="00C52472"/>
    <w:rsid w:val="00C52F1D"/>
    <w:rsid w:val="00C55506"/>
    <w:rsid w:val="00C55937"/>
    <w:rsid w:val="00C56B78"/>
    <w:rsid w:val="00C64802"/>
    <w:rsid w:val="00C66BDB"/>
    <w:rsid w:val="00C74D8C"/>
    <w:rsid w:val="00C81F21"/>
    <w:rsid w:val="00C84EBA"/>
    <w:rsid w:val="00C85337"/>
    <w:rsid w:val="00C86C2E"/>
    <w:rsid w:val="00C87FD9"/>
    <w:rsid w:val="00C91255"/>
    <w:rsid w:val="00C91FBB"/>
    <w:rsid w:val="00C94B58"/>
    <w:rsid w:val="00C95EFF"/>
    <w:rsid w:val="00CA08BF"/>
    <w:rsid w:val="00CA0DF1"/>
    <w:rsid w:val="00CA2A35"/>
    <w:rsid w:val="00CA4230"/>
    <w:rsid w:val="00CA4246"/>
    <w:rsid w:val="00CA467D"/>
    <w:rsid w:val="00CA712B"/>
    <w:rsid w:val="00CB0242"/>
    <w:rsid w:val="00CB27AD"/>
    <w:rsid w:val="00CB3FDA"/>
    <w:rsid w:val="00CB4884"/>
    <w:rsid w:val="00CB7EC1"/>
    <w:rsid w:val="00CC0224"/>
    <w:rsid w:val="00CC1D36"/>
    <w:rsid w:val="00CC476E"/>
    <w:rsid w:val="00CC4D99"/>
    <w:rsid w:val="00CC538E"/>
    <w:rsid w:val="00CD2383"/>
    <w:rsid w:val="00CD5856"/>
    <w:rsid w:val="00CE2ECA"/>
    <w:rsid w:val="00CE3EE8"/>
    <w:rsid w:val="00CE6B3E"/>
    <w:rsid w:val="00CF0968"/>
    <w:rsid w:val="00CF15A7"/>
    <w:rsid w:val="00CF1B97"/>
    <w:rsid w:val="00CF39FD"/>
    <w:rsid w:val="00CF3F95"/>
    <w:rsid w:val="00CF4DFE"/>
    <w:rsid w:val="00CF5420"/>
    <w:rsid w:val="00CF5A4D"/>
    <w:rsid w:val="00CF6BF6"/>
    <w:rsid w:val="00D0170D"/>
    <w:rsid w:val="00D03141"/>
    <w:rsid w:val="00D052E2"/>
    <w:rsid w:val="00D05E0A"/>
    <w:rsid w:val="00D06785"/>
    <w:rsid w:val="00D06B17"/>
    <w:rsid w:val="00D07241"/>
    <w:rsid w:val="00D10010"/>
    <w:rsid w:val="00D113AB"/>
    <w:rsid w:val="00D13139"/>
    <w:rsid w:val="00D131CD"/>
    <w:rsid w:val="00D158A0"/>
    <w:rsid w:val="00D16B21"/>
    <w:rsid w:val="00D22FB1"/>
    <w:rsid w:val="00D256B0"/>
    <w:rsid w:val="00D268B7"/>
    <w:rsid w:val="00D27096"/>
    <w:rsid w:val="00D31CCF"/>
    <w:rsid w:val="00D34986"/>
    <w:rsid w:val="00D36251"/>
    <w:rsid w:val="00D37825"/>
    <w:rsid w:val="00D4095B"/>
    <w:rsid w:val="00D40C68"/>
    <w:rsid w:val="00D4193E"/>
    <w:rsid w:val="00D44A6C"/>
    <w:rsid w:val="00D504B7"/>
    <w:rsid w:val="00D55874"/>
    <w:rsid w:val="00D5784C"/>
    <w:rsid w:val="00D614A2"/>
    <w:rsid w:val="00D6212D"/>
    <w:rsid w:val="00D629AC"/>
    <w:rsid w:val="00D62C62"/>
    <w:rsid w:val="00D6404C"/>
    <w:rsid w:val="00D649CD"/>
    <w:rsid w:val="00D6742A"/>
    <w:rsid w:val="00D705D8"/>
    <w:rsid w:val="00D71993"/>
    <w:rsid w:val="00D7424F"/>
    <w:rsid w:val="00D75A35"/>
    <w:rsid w:val="00D76AA2"/>
    <w:rsid w:val="00D76F25"/>
    <w:rsid w:val="00D77B8B"/>
    <w:rsid w:val="00D8072D"/>
    <w:rsid w:val="00D86E61"/>
    <w:rsid w:val="00D94101"/>
    <w:rsid w:val="00D95AB8"/>
    <w:rsid w:val="00D974EF"/>
    <w:rsid w:val="00DA20C8"/>
    <w:rsid w:val="00DA2B37"/>
    <w:rsid w:val="00DA36A4"/>
    <w:rsid w:val="00DA4DAA"/>
    <w:rsid w:val="00DA61BD"/>
    <w:rsid w:val="00DA758A"/>
    <w:rsid w:val="00DB004F"/>
    <w:rsid w:val="00DB03A8"/>
    <w:rsid w:val="00DB1852"/>
    <w:rsid w:val="00DB7520"/>
    <w:rsid w:val="00DC01D6"/>
    <w:rsid w:val="00DC067C"/>
    <w:rsid w:val="00DC2A9A"/>
    <w:rsid w:val="00DC342A"/>
    <w:rsid w:val="00DC7837"/>
    <w:rsid w:val="00DD14FF"/>
    <w:rsid w:val="00DD1FB4"/>
    <w:rsid w:val="00DD39AC"/>
    <w:rsid w:val="00DD3B5E"/>
    <w:rsid w:val="00DD6C3D"/>
    <w:rsid w:val="00DD6FFC"/>
    <w:rsid w:val="00DE1FE4"/>
    <w:rsid w:val="00DE37DD"/>
    <w:rsid w:val="00DE6385"/>
    <w:rsid w:val="00DF2A96"/>
    <w:rsid w:val="00DF2B60"/>
    <w:rsid w:val="00DF43F1"/>
    <w:rsid w:val="00DF62A7"/>
    <w:rsid w:val="00E00318"/>
    <w:rsid w:val="00E015FA"/>
    <w:rsid w:val="00E03381"/>
    <w:rsid w:val="00E03A21"/>
    <w:rsid w:val="00E138A5"/>
    <w:rsid w:val="00E1534B"/>
    <w:rsid w:val="00E15446"/>
    <w:rsid w:val="00E157D6"/>
    <w:rsid w:val="00E15CA6"/>
    <w:rsid w:val="00E15E7F"/>
    <w:rsid w:val="00E17B06"/>
    <w:rsid w:val="00E23277"/>
    <w:rsid w:val="00E247A3"/>
    <w:rsid w:val="00E24D7B"/>
    <w:rsid w:val="00E2563D"/>
    <w:rsid w:val="00E35DBC"/>
    <w:rsid w:val="00E40743"/>
    <w:rsid w:val="00E41CE6"/>
    <w:rsid w:val="00E42460"/>
    <w:rsid w:val="00E43B0A"/>
    <w:rsid w:val="00E461B2"/>
    <w:rsid w:val="00E503ED"/>
    <w:rsid w:val="00E50C1D"/>
    <w:rsid w:val="00E50E9F"/>
    <w:rsid w:val="00E51B5D"/>
    <w:rsid w:val="00E51E44"/>
    <w:rsid w:val="00E52F29"/>
    <w:rsid w:val="00E5341F"/>
    <w:rsid w:val="00E5388D"/>
    <w:rsid w:val="00E546D0"/>
    <w:rsid w:val="00E5794C"/>
    <w:rsid w:val="00E624FA"/>
    <w:rsid w:val="00E65C8B"/>
    <w:rsid w:val="00E67ED9"/>
    <w:rsid w:val="00E70ADD"/>
    <w:rsid w:val="00E72746"/>
    <w:rsid w:val="00E737E6"/>
    <w:rsid w:val="00E76541"/>
    <w:rsid w:val="00E801F6"/>
    <w:rsid w:val="00E80206"/>
    <w:rsid w:val="00E807AA"/>
    <w:rsid w:val="00E809CD"/>
    <w:rsid w:val="00E80C85"/>
    <w:rsid w:val="00E82015"/>
    <w:rsid w:val="00E82B04"/>
    <w:rsid w:val="00E8331C"/>
    <w:rsid w:val="00E8564B"/>
    <w:rsid w:val="00E8653B"/>
    <w:rsid w:val="00E873D4"/>
    <w:rsid w:val="00E9155D"/>
    <w:rsid w:val="00E91974"/>
    <w:rsid w:val="00E95878"/>
    <w:rsid w:val="00E95FD0"/>
    <w:rsid w:val="00E961AE"/>
    <w:rsid w:val="00EA1A1F"/>
    <w:rsid w:val="00EA1C37"/>
    <w:rsid w:val="00EA6406"/>
    <w:rsid w:val="00EA723E"/>
    <w:rsid w:val="00EB06C7"/>
    <w:rsid w:val="00EB0816"/>
    <w:rsid w:val="00EB12FC"/>
    <w:rsid w:val="00EB13A2"/>
    <w:rsid w:val="00EB6889"/>
    <w:rsid w:val="00EB7127"/>
    <w:rsid w:val="00EC01C2"/>
    <w:rsid w:val="00EC0F72"/>
    <w:rsid w:val="00EC1BF4"/>
    <w:rsid w:val="00EC1F46"/>
    <w:rsid w:val="00EC4625"/>
    <w:rsid w:val="00EC598D"/>
    <w:rsid w:val="00EC59DC"/>
    <w:rsid w:val="00EC7805"/>
    <w:rsid w:val="00ED099B"/>
    <w:rsid w:val="00ED17DB"/>
    <w:rsid w:val="00ED252C"/>
    <w:rsid w:val="00ED2AE0"/>
    <w:rsid w:val="00ED3746"/>
    <w:rsid w:val="00ED55C1"/>
    <w:rsid w:val="00EE1760"/>
    <w:rsid w:val="00EE4622"/>
    <w:rsid w:val="00EE6A73"/>
    <w:rsid w:val="00EF719C"/>
    <w:rsid w:val="00F0110E"/>
    <w:rsid w:val="00F01C2D"/>
    <w:rsid w:val="00F06BC4"/>
    <w:rsid w:val="00F07880"/>
    <w:rsid w:val="00F11440"/>
    <w:rsid w:val="00F12B94"/>
    <w:rsid w:val="00F16C40"/>
    <w:rsid w:val="00F16F72"/>
    <w:rsid w:val="00F1737E"/>
    <w:rsid w:val="00F17ADA"/>
    <w:rsid w:val="00F20F43"/>
    <w:rsid w:val="00F21ACB"/>
    <w:rsid w:val="00F241A4"/>
    <w:rsid w:val="00F26426"/>
    <w:rsid w:val="00F3407D"/>
    <w:rsid w:val="00F34A26"/>
    <w:rsid w:val="00F34CE2"/>
    <w:rsid w:val="00F34E84"/>
    <w:rsid w:val="00F35157"/>
    <w:rsid w:val="00F35CEE"/>
    <w:rsid w:val="00F40DAE"/>
    <w:rsid w:val="00F4302E"/>
    <w:rsid w:val="00F45631"/>
    <w:rsid w:val="00F4668F"/>
    <w:rsid w:val="00F512C2"/>
    <w:rsid w:val="00F53747"/>
    <w:rsid w:val="00F5710E"/>
    <w:rsid w:val="00F57579"/>
    <w:rsid w:val="00F60781"/>
    <w:rsid w:val="00F60B41"/>
    <w:rsid w:val="00F63F7D"/>
    <w:rsid w:val="00F67E52"/>
    <w:rsid w:val="00F71DDE"/>
    <w:rsid w:val="00F71F6D"/>
    <w:rsid w:val="00F72462"/>
    <w:rsid w:val="00F74E55"/>
    <w:rsid w:val="00F81688"/>
    <w:rsid w:val="00F84B9F"/>
    <w:rsid w:val="00F84C2E"/>
    <w:rsid w:val="00F902BD"/>
    <w:rsid w:val="00F91256"/>
    <w:rsid w:val="00F924A4"/>
    <w:rsid w:val="00F95DD5"/>
    <w:rsid w:val="00F95DD8"/>
    <w:rsid w:val="00F973A8"/>
    <w:rsid w:val="00FA074B"/>
    <w:rsid w:val="00FA16AA"/>
    <w:rsid w:val="00FA179F"/>
    <w:rsid w:val="00FA1CAA"/>
    <w:rsid w:val="00FA5452"/>
    <w:rsid w:val="00FA61C9"/>
    <w:rsid w:val="00FA756F"/>
    <w:rsid w:val="00FA7B65"/>
    <w:rsid w:val="00FB0DC7"/>
    <w:rsid w:val="00FB2AF8"/>
    <w:rsid w:val="00FB306E"/>
    <w:rsid w:val="00FB34BD"/>
    <w:rsid w:val="00FB38BD"/>
    <w:rsid w:val="00FB3BC8"/>
    <w:rsid w:val="00FB55E8"/>
    <w:rsid w:val="00FB5FAD"/>
    <w:rsid w:val="00FB715D"/>
    <w:rsid w:val="00FB7EBC"/>
    <w:rsid w:val="00FC22E6"/>
    <w:rsid w:val="00FC29E4"/>
    <w:rsid w:val="00FC3CF3"/>
    <w:rsid w:val="00FD0D6E"/>
    <w:rsid w:val="00FD2241"/>
    <w:rsid w:val="00FD255B"/>
    <w:rsid w:val="00FD3E6B"/>
    <w:rsid w:val="00FD4EB4"/>
    <w:rsid w:val="00FD5616"/>
    <w:rsid w:val="00FD5A3D"/>
    <w:rsid w:val="00FD5B03"/>
    <w:rsid w:val="00FD7C1F"/>
    <w:rsid w:val="00FE02AB"/>
    <w:rsid w:val="00FE09B9"/>
    <w:rsid w:val="00FE1170"/>
    <w:rsid w:val="00FE137E"/>
    <w:rsid w:val="00FE2532"/>
    <w:rsid w:val="00FE63D5"/>
    <w:rsid w:val="00FEB264"/>
    <w:rsid w:val="00FF050D"/>
    <w:rsid w:val="00FF146A"/>
    <w:rsid w:val="00FF49D8"/>
    <w:rsid w:val="00FF6137"/>
    <w:rsid w:val="00FF63AD"/>
    <w:rsid w:val="0175697D"/>
    <w:rsid w:val="01D7510C"/>
    <w:rsid w:val="02D3335B"/>
    <w:rsid w:val="043091AA"/>
    <w:rsid w:val="04C9754E"/>
    <w:rsid w:val="04D9A889"/>
    <w:rsid w:val="06DF7A66"/>
    <w:rsid w:val="06E8FB83"/>
    <w:rsid w:val="0774E633"/>
    <w:rsid w:val="089EF315"/>
    <w:rsid w:val="0A2F1495"/>
    <w:rsid w:val="0A3637D2"/>
    <w:rsid w:val="0AB96B01"/>
    <w:rsid w:val="0AC111BD"/>
    <w:rsid w:val="0AC5739E"/>
    <w:rsid w:val="0B2031E3"/>
    <w:rsid w:val="0CFC7B9B"/>
    <w:rsid w:val="0D6E700C"/>
    <w:rsid w:val="0DB16DC2"/>
    <w:rsid w:val="0EC581BE"/>
    <w:rsid w:val="0F408C3B"/>
    <w:rsid w:val="1068A1C3"/>
    <w:rsid w:val="12047224"/>
    <w:rsid w:val="1231A277"/>
    <w:rsid w:val="13632157"/>
    <w:rsid w:val="1491E342"/>
    <w:rsid w:val="14CA5146"/>
    <w:rsid w:val="16424255"/>
    <w:rsid w:val="1791BC2C"/>
    <w:rsid w:val="17BD7832"/>
    <w:rsid w:val="184DBDF1"/>
    <w:rsid w:val="196B3FE3"/>
    <w:rsid w:val="198E6001"/>
    <w:rsid w:val="19C2A08F"/>
    <w:rsid w:val="1A3ECB64"/>
    <w:rsid w:val="1C9D50F5"/>
    <w:rsid w:val="1D05A507"/>
    <w:rsid w:val="1D389FD7"/>
    <w:rsid w:val="2210E2FB"/>
    <w:rsid w:val="22361E7C"/>
    <w:rsid w:val="2265812A"/>
    <w:rsid w:val="22A2C2D3"/>
    <w:rsid w:val="2376FF06"/>
    <w:rsid w:val="23988396"/>
    <w:rsid w:val="23F6890E"/>
    <w:rsid w:val="252F5478"/>
    <w:rsid w:val="25C0A266"/>
    <w:rsid w:val="25E1B434"/>
    <w:rsid w:val="26AE0850"/>
    <w:rsid w:val="272A2135"/>
    <w:rsid w:val="27847501"/>
    <w:rsid w:val="28CC81A2"/>
    <w:rsid w:val="2A37E279"/>
    <w:rsid w:val="2AF0C619"/>
    <w:rsid w:val="2B12E212"/>
    <w:rsid w:val="2B2E6EDB"/>
    <w:rsid w:val="2B4C29C4"/>
    <w:rsid w:val="2D19B61C"/>
    <w:rsid w:val="2D45E9B1"/>
    <w:rsid w:val="31107452"/>
    <w:rsid w:val="31E7FD3B"/>
    <w:rsid w:val="33E4C6C4"/>
    <w:rsid w:val="33FD334B"/>
    <w:rsid w:val="34E09B5B"/>
    <w:rsid w:val="34F40924"/>
    <w:rsid w:val="35E76675"/>
    <w:rsid w:val="3609485B"/>
    <w:rsid w:val="3644EEE0"/>
    <w:rsid w:val="36B64B42"/>
    <w:rsid w:val="36E90A40"/>
    <w:rsid w:val="372C7307"/>
    <w:rsid w:val="3760A348"/>
    <w:rsid w:val="38B19980"/>
    <w:rsid w:val="395327F6"/>
    <w:rsid w:val="3A11FFE1"/>
    <w:rsid w:val="3E623AD4"/>
    <w:rsid w:val="3EBAD299"/>
    <w:rsid w:val="3EE474E5"/>
    <w:rsid w:val="3EF4B39D"/>
    <w:rsid w:val="3F2016A0"/>
    <w:rsid w:val="3F47A30C"/>
    <w:rsid w:val="3F8289A2"/>
    <w:rsid w:val="3FBE3E4A"/>
    <w:rsid w:val="4072319D"/>
    <w:rsid w:val="40F58CAC"/>
    <w:rsid w:val="41288585"/>
    <w:rsid w:val="4165C1BF"/>
    <w:rsid w:val="4252F8ED"/>
    <w:rsid w:val="434AB00C"/>
    <w:rsid w:val="44ECD961"/>
    <w:rsid w:val="4528D4CE"/>
    <w:rsid w:val="46F2BA1C"/>
    <w:rsid w:val="46F60BA7"/>
    <w:rsid w:val="474C127F"/>
    <w:rsid w:val="477D68D4"/>
    <w:rsid w:val="47CD1C27"/>
    <w:rsid w:val="4862D579"/>
    <w:rsid w:val="49246D10"/>
    <w:rsid w:val="49D320D5"/>
    <w:rsid w:val="4A467499"/>
    <w:rsid w:val="4A919419"/>
    <w:rsid w:val="4AB42DD6"/>
    <w:rsid w:val="4AC59E4C"/>
    <w:rsid w:val="4BB51715"/>
    <w:rsid w:val="4BFE99A8"/>
    <w:rsid w:val="4C4CE5CB"/>
    <w:rsid w:val="4C82357A"/>
    <w:rsid w:val="4CFFE136"/>
    <w:rsid w:val="4E7F88C3"/>
    <w:rsid w:val="4F02EADC"/>
    <w:rsid w:val="4FFB6A45"/>
    <w:rsid w:val="51A05F08"/>
    <w:rsid w:val="52235C7A"/>
    <w:rsid w:val="5352F9E6"/>
    <w:rsid w:val="535B5182"/>
    <w:rsid w:val="54B8E320"/>
    <w:rsid w:val="54C55A27"/>
    <w:rsid w:val="5512D73C"/>
    <w:rsid w:val="557F1119"/>
    <w:rsid w:val="55C92B80"/>
    <w:rsid w:val="56A32B8D"/>
    <w:rsid w:val="598798E0"/>
    <w:rsid w:val="59980324"/>
    <w:rsid w:val="59F45C08"/>
    <w:rsid w:val="5A681DC9"/>
    <w:rsid w:val="5A785C81"/>
    <w:rsid w:val="5AC86A52"/>
    <w:rsid w:val="5AED2F69"/>
    <w:rsid w:val="5B4BCCF2"/>
    <w:rsid w:val="5C2406F3"/>
    <w:rsid w:val="5D6ABDC5"/>
    <w:rsid w:val="5EE5BAE5"/>
    <w:rsid w:val="609B4E6F"/>
    <w:rsid w:val="612B91ED"/>
    <w:rsid w:val="61567D7E"/>
    <w:rsid w:val="616F9914"/>
    <w:rsid w:val="63105451"/>
    <w:rsid w:val="63773159"/>
    <w:rsid w:val="6427E968"/>
    <w:rsid w:val="6474DA10"/>
    <w:rsid w:val="66A0275D"/>
    <w:rsid w:val="672C1B6B"/>
    <w:rsid w:val="67AA1CF2"/>
    <w:rsid w:val="67E82375"/>
    <w:rsid w:val="681B7303"/>
    <w:rsid w:val="6821347F"/>
    <w:rsid w:val="6846271E"/>
    <w:rsid w:val="69CCDEF1"/>
    <w:rsid w:val="6AB785CA"/>
    <w:rsid w:val="6ACF7EDB"/>
    <w:rsid w:val="6C30DC71"/>
    <w:rsid w:val="6D05172B"/>
    <w:rsid w:val="6D612987"/>
    <w:rsid w:val="6D620E6F"/>
    <w:rsid w:val="6DE0ADE0"/>
    <w:rsid w:val="6EE0888E"/>
    <w:rsid w:val="6F700B81"/>
    <w:rsid w:val="716893FE"/>
    <w:rsid w:val="724559A3"/>
    <w:rsid w:val="729E1ECF"/>
    <w:rsid w:val="72D56DA4"/>
    <w:rsid w:val="743CEB70"/>
    <w:rsid w:val="74625F4E"/>
    <w:rsid w:val="7662B413"/>
    <w:rsid w:val="767C0697"/>
    <w:rsid w:val="768DB367"/>
    <w:rsid w:val="76AD6789"/>
    <w:rsid w:val="772F540F"/>
    <w:rsid w:val="7893B815"/>
    <w:rsid w:val="789FFE6E"/>
    <w:rsid w:val="78D30CBA"/>
    <w:rsid w:val="7943A681"/>
    <w:rsid w:val="79DA4BE7"/>
    <w:rsid w:val="79EE0EBB"/>
    <w:rsid w:val="7B1208AF"/>
    <w:rsid w:val="7B6087A3"/>
    <w:rsid w:val="7D8F6F6B"/>
    <w:rsid w:val="7E26A05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EC7B3C"/>
  <w15:chartTrackingRefBased/>
  <w15:docId w15:val="{DB1B6099-343F-42B8-969F-B2B438F60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1" w:unhideWhenUsed="1"/>
    <w:lsdException w:name="annotation subjec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702"/>
    <w:pPr>
      <w:spacing w:before="120" w:after="120"/>
    </w:pPr>
    <w:rPr>
      <w:rFonts w:ascii="Helvetica" w:hAnsi="Helvetica"/>
      <w:sz w:val="24"/>
    </w:rPr>
  </w:style>
  <w:style w:type="paragraph" w:styleId="Heading1">
    <w:name w:val="heading 1"/>
    <w:basedOn w:val="Normal"/>
    <w:next w:val="Normal"/>
    <w:qFormat/>
    <w:locked/>
    <w:rsid w:val="007F2094"/>
    <w:pPr>
      <w:keepNext/>
      <w:spacing w:before="240"/>
      <w:outlineLvl w:val="0"/>
    </w:pPr>
    <w:rPr>
      <w:b/>
      <w:sz w:val="40"/>
    </w:rPr>
  </w:style>
  <w:style w:type="paragraph" w:styleId="Heading2">
    <w:name w:val="heading 2"/>
    <w:basedOn w:val="Normal"/>
    <w:next w:val="Normal"/>
    <w:link w:val="Heading2Char"/>
    <w:qFormat/>
    <w:rsid w:val="006156B0"/>
    <w:pPr>
      <w:keepNext/>
      <w:pBdr>
        <w:bottom w:val="single" w:sz="8" w:space="4" w:color="00424F"/>
      </w:pBdr>
      <w:tabs>
        <w:tab w:val="left" w:pos="0"/>
      </w:tabs>
      <w:spacing w:before="360" w:after="240"/>
      <w:outlineLvl w:val="1"/>
    </w:pPr>
    <w:rPr>
      <w:rFonts w:eastAsia="Times New Roman"/>
      <w:b/>
      <w:sz w:val="36"/>
    </w:rPr>
  </w:style>
  <w:style w:type="paragraph" w:styleId="Heading3">
    <w:name w:val="heading 3"/>
    <w:basedOn w:val="Normal"/>
    <w:next w:val="Normal"/>
    <w:link w:val="Heading3Char"/>
    <w:qFormat/>
    <w:rsid w:val="006156B0"/>
    <w:pPr>
      <w:keepNext/>
      <w:spacing w:before="240"/>
      <w:outlineLvl w:val="2"/>
    </w:pPr>
    <w:rPr>
      <w:b/>
      <w:sz w:val="32"/>
    </w:rPr>
  </w:style>
  <w:style w:type="paragraph" w:styleId="Heading4">
    <w:name w:val="heading 4"/>
    <w:basedOn w:val="Normal"/>
    <w:next w:val="Normal"/>
    <w:qFormat/>
    <w:rsid w:val="00FD7700"/>
    <w:pPr>
      <w:keepNext/>
      <w:spacing w:after="60"/>
      <w:outlineLvl w:val="3"/>
    </w:pPr>
    <w:rPr>
      <w:b/>
    </w:rPr>
  </w:style>
  <w:style w:type="paragraph" w:styleId="Heading5">
    <w:name w:val="heading 5"/>
    <w:basedOn w:val="Normal"/>
    <w:next w:val="Normal"/>
    <w:qFormat/>
    <w:locked/>
    <w:rsid w:val="00FD7700"/>
    <w:pPr>
      <w:keepNext/>
      <w:spacing w:before="360"/>
      <w:outlineLvl w:val="4"/>
    </w:pPr>
    <w:rPr>
      <w:sz w:val="48"/>
    </w:rPr>
  </w:style>
  <w:style w:type="paragraph" w:styleId="Heading6">
    <w:name w:val="heading 6"/>
    <w:basedOn w:val="Normal"/>
    <w:next w:val="Normal"/>
    <w:link w:val="Heading6Char"/>
    <w:qFormat/>
    <w:locked/>
    <w:rsid w:val="00FD7700"/>
    <w:pPr>
      <w:spacing w:before="240" w:after="60"/>
      <w:outlineLvl w:val="5"/>
    </w:pPr>
    <w:rPr>
      <w:rFonts w:ascii="Cambria" w:eastAsia="Times New Roman" w:hAnsi="Cambria"/>
      <w:b/>
      <w:bCs/>
      <w:sz w:val="22"/>
      <w:szCs w:val="22"/>
    </w:rPr>
  </w:style>
  <w:style w:type="paragraph" w:styleId="Heading7">
    <w:name w:val="heading 7"/>
    <w:basedOn w:val="Normal"/>
    <w:next w:val="Normal"/>
    <w:link w:val="Heading7Char"/>
    <w:qFormat/>
    <w:locked/>
    <w:rsid w:val="00FD7700"/>
    <w:pPr>
      <w:spacing w:before="240" w:after="60"/>
      <w:outlineLvl w:val="6"/>
    </w:pPr>
    <w:rPr>
      <w:rFonts w:ascii="Cambria" w:eastAsia="Times New Roman" w:hAnsi="Cambria"/>
      <w:szCs w:val="24"/>
    </w:rPr>
  </w:style>
  <w:style w:type="paragraph" w:styleId="Heading8">
    <w:name w:val="heading 8"/>
    <w:basedOn w:val="Normal"/>
    <w:next w:val="Normal"/>
    <w:link w:val="Heading8Char"/>
    <w:qFormat/>
    <w:locked/>
    <w:rsid w:val="00FD7700"/>
    <w:pPr>
      <w:spacing w:before="240" w:after="60"/>
      <w:outlineLvl w:val="7"/>
    </w:pPr>
    <w:rPr>
      <w:rFonts w:ascii="Cambria" w:eastAsia="Times New Roman" w:hAnsi="Cambria"/>
      <w:i/>
      <w:iCs/>
      <w:szCs w:val="24"/>
    </w:rPr>
  </w:style>
  <w:style w:type="paragraph" w:styleId="Heading9">
    <w:name w:val="heading 9"/>
    <w:basedOn w:val="Normal"/>
    <w:next w:val="Normal"/>
    <w:link w:val="Heading9Char"/>
    <w:qFormat/>
    <w:locked/>
    <w:rsid w:val="00FD7700"/>
    <w:pPr>
      <w:spacing w:before="240" w:after="60"/>
      <w:outlineLvl w:val="8"/>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overviewtext"/>
    <w:link w:val="HeaderChar"/>
    <w:locked/>
    <w:rsid w:val="00F93897"/>
    <w:pPr>
      <w:tabs>
        <w:tab w:val="center" w:pos="4153"/>
        <w:tab w:val="right" w:pos="8306"/>
      </w:tabs>
    </w:pPr>
    <w:rPr>
      <w:rFonts w:eastAsia="Times New Roman"/>
    </w:rPr>
  </w:style>
  <w:style w:type="paragraph" w:styleId="BodyTextIndent">
    <w:name w:val="Body Text Indent"/>
    <w:basedOn w:val="Normal"/>
    <w:locked/>
    <w:pPr>
      <w:ind w:left="709" w:hanging="709"/>
    </w:pPr>
  </w:style>
  <w:style w:type="table" w:styleId="TableGrid">
    <w:name w:val="Table Grid"/>
    <w:basedOn w:val="TableNormal"/>
    <w:uiPriority w:val="59"/>
    <w:locked/>
    <w:rsid w:val="007F20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uthordetails">
    <w:name w:val="author details"/>
    <w:basedOn w:val="Header"/>
    <w:locked/>
    <w:pPr>
      <w:pBdr>
        <w:top w:val="single" w:sz="8" w:space="4" w:color="auto"/>
        <w:left w:val="single" w:sz="8" w:space="4" w:color="auto"/>
        <w:bottom w:val="single" w:sz="8" w:space="4" w:color="auto"/>
        <w:right w:val="single" w:sz="8" w:space="4" w:color="auto"/>
      </w:pBdr>
      <w:tabs>
        <w:tab w:val="clear" w:pos="4153"/>
        <w:tab w:val="clear" w:pos="8306"/>
      </w:tabs>
    </w:pPr>
  </w:style>
  <w:style w:type="paragraph" w:customStyle="1" w:styleId="CommitteeTitle">
    <w:name w:val="Committee Title"/>
    <w:basedOn w:val="Header"/>
    <w:next w:val="Header"/>
    <w:qFormat/>
    <w:rsid w:val="000632BB"/>
    <w:pPr>
      <w:shd w:val="clear" w:color="auto" w:fill="000000"/>
      <w:tabs>
        <w:tab w:val="clear" w:pos="4153"/>
        <w:tab w:val="clear" w:pos="8306"/>
      </w:tabs>
      <w:spacing w:after="120"/>
      <w:ind w:right="2835"/>
    </w:pPr>
    <w:rPr>
      <w:b/>
      <w:noProof/>
      <w:color w:val="FFFFFF"/>
    </w:rPr>
  </w:style>
  <w:style w:type="paragraph" w:customStyle="1" w:styleId="summarydetails">
    <w:name w:val="summary details"/>
    <w:basedOn w:val="overviewtext"/>
    <w:qFormat/>
    <w:rsid w:val="00714289"/>
    <w:pPr>
      <w:ind w:left="720"/>
    </w:pPr>
  </w:style>
  <w:style w:type="paragraph" w:customStyle="1" w:styleId="overviewtext">
    <w:name w:val="overview text"/>
    <w:link w:val="overviewtextChar"/>
    <w:qFormat/>
    <w:rsid w:val="001C1389"/>
    <w:pPr>
      <w:spacing w:before="60" w:after="60"/>
    </w:pPr>
    <w:rPr>
      <w:rFonts w:ascii="Helvetica" w:hAnsi="Helvetica"/>
      <w:sz w:val="24"/>
    </w:rPr>
  </w:style>
  <w:style w:type="paragraph" w:customStyle="1" w:styleId="overviewheading">
    <w:name w:val="overview heading"/>
    <w:basedOn w:val="overviewtext"/>
    <w:qFormat/>
    <w:rsid w:val="001C1389"/>
    <w:pPr>
      <w:pBdr>
        <w:bottom w:val="single" w:sz="4" w:space="4" w:color="auto"/>
      </w:pBdr>
      <w:spacing w:before="120"/>
    </w:pPr>
    <w:rPr>
      <w:b/>
    </w:rPr>
  </w:style>
  <w:style w:type="paragraph" w:customStyle="1" w:styleId="ReportTitle">
    <w:name w:val="Report Title"/>
    <w:basedOn w:val="overviewtext"/>
    <w:qFormat/>
    <w:rsid w:val="00FD7700"/>
    <w:pPr>
      <w:spacing w:before="120" w:after="120"/>
    </w:pPr>
    <w:rPr>
      <w:b/>
      <w:sz w:val="40"/>
    </w:rPr>
  </w:style>
  <w:style w:type="character" w:customStyle="1" w:styleId="Heading6Char">
    <w:name w:val="Heading 6 Char"/>
    <w:link w:val="Heading6"/>
    <w:rsid w:val="00FD7700"/>
    <w:rPr>
      <w:rFonts w:ascii="Cambria" w:eastAsia="Times New Roman" w:hAnsi="Cambria" w:cs="Times New Roman"/>
      <w:b/>
      <w:bCs/>
      <w:sz w:val="22"/>
      <w:szCs w:val="22"/>
      <w:lang w:eastAsia="en-GB"/>
    </w:rPr>
  </w:style>
  <w:style w:type="character" w:customStyle="1" w:styleId="Heading7Char">
    <w:name w:val="Heading 7 Char"/>
    <w:link w:val="Heading7"/>
    <w:rsid w:val="00FD7700"/>
    <w:rPr>
      <w:rFonts w:ascii="Cambria" w:eastAsia="Times New Roman" w:hAnsi="Cambria" w:cs="Times New Roman"/>
      <w:sz w:val="24"/>
      <w:szCs w:val="24"/>
      <w:lang w:eastAsia="en-GB"/>
    </w:rPr>
  </w:style>
  <w:style w:type="character" w:customStyle="1" w:styleId="Heading8Char">
    <w:name w:val="Heading 8 Char"/>
    <w:link w:val="Heading8"/>
    <w:rsid w:val="00FD7700"/>
    <w:rPr>
      <w:rFonts w:ascii="Cambria" w:eastAsia="Times New Roman" w:hAnsi="Cambria" w:cs="Times New Roman"/>
      <w:i/>
      <w:iCs/>
      <w:sz w:val="24"/>
      <w:szCs w:val="24"/>
      <w:lang w:eastAsia="en-GB"/>
    </w:rPr>
  </w:style>
  <w:style w:type="character" w:customStyle="1" w:styleId="Heading9Char">
    <w:name w:val="Heading 9 Char"/>
    <w:link w:val="Heading9"/>
    <w:rsid w:val="00FD7700"/>
    <w:rPr>
      <w:rFonts w:ascii="Calibri" w:eastAsia="Times New Roman" w:hAnsi="Calibri" w:cs="Times New Roman"/>
      <w:sz w:val="22"/>
      <w:szCs w:val="22"/>
      <w:lang w:eastAsia="en-GB"/>
    </w:rPr>
  </w:style>
  <w:style w:type="paragraph" w:customStyle="1" w:styleId="Bulletedlist1">
    <w:name w:val="Bulleted list 1"/>
    <w:basedOn w:val="Normal"/>
    <w:qFormat/>
    <w:locked/>
    <w:rsid w:val="004D6702"/>
    <w:pPr>
      <w:numPr>
        <w:numId w:val="1"/>
      </w:numPr>
    </w:pPr>
  </w:style>
  <w:style w:type="paragraph" w:styleId="BalloonText">
    <w:name w:val="Balloon Text"/>
    <w:basedOn w:val="Normal"/>
    <w:semiHidden/>
    <w:locked/>
    <w:rsid w:val="00EC0F72"/>
    <w:rPr>
      <w:rFonts w:ascii="Tahoma" w:hAnsi="Tahoma" w:cs="Tahoma"/>
      <w:sz w:val="16"/>
      <w:szCs w:val="16"/>
    </w:rPr>
  </w:style>
  <w:style w:type="paragraph" w:customStyle="1" w:styleId="SubHeadings">
    <w:name w:val="Sub Headings"/>
    <w:basedOn w:val="Heading3"/>
    <w:link w:val="SubHeadingsChar"/>
    <w:autoRedefine/>
    <w:rsid w:val="00CF3F95"/>
    <w:pPr>
      <w:ind w:left="720"/>
    </w:pPr>
  </w:style>
  <w:style w:type="paragraph" w:customStyle="1" w:styleId="NumberList1">
    <w:name w:val="Number List1"/>
    <w:basedOn w:val="Normal"/>
    <w:autoRedefine/>
    <w:rsid w:val="003914B1"/>
    <w:pPr>
      <w:numPr>
        <w:numId w:val="8"/>
      </w:numPr>
    </w:pPr>
  </w:style>
  <w:style w:type="paragraph" w:customStyle="1" w:styleId="Para2">
    <w:name w:val="Para2"/>
    <w:basedOn w:val="Normal"/>
    <w:link w:val="Para2Char"/>
    <w:autoRedefine/>
    <w:rsid w:val="00DF2B60"/>
    <w:pPr>
      <w:numPr>
        <w:ilvl w:val="2"/>
        <w:numId w:val="2"/>
      </w:numPr>
    </w:pPr>
  </w:style>
  <w:style w:type="paragraph" w:customStyle="1" w:styleId="NumberedList2">
    <w:name w:val="Numbered List2"/>
    <w:basedOn w:val="Normal"/>
    <w:autoRedefine/>
    <w:rsid w:val="00AA020C"/>
    <w:pPr>
      <w:ind w:left="709" w:hanging="709"/>
    </w:pPr>
  </w:style>
  <w:style w:type="paragraph" w:customStyle="1" w:styleId="Para1">
    <w:name w:val="Para1"/>
    <w:basedOn w:val="Heading3"/>
    <w:rsid w:val="005B317F"/>
    <w:pPr>
      <w:tabs>
        <w:tab w:val="left" w:pos="1440"/>
      </w:tabs>
      <w:ind w:left="1440" w:hanging="720"/>
    </w:pPr>
    <w:rPr>
      <w:b w:val="0"/>
      <w:sz w:val="24"/>
      <w:szCs w:val="24"/>
    </w:rPr>
  </w:style>
  <w:style w:type="character" w:customStyle="1" w:styleId="Heading2Char">
    <w:name w:val="Heading 2 Char"/>
    <w:link w:val="Heading2"/>
    <w:rsid w:val="00BB2685"/>
    <w:rPr>
      <w:rFonts w:ascii="Helvetica" w:hAnsi="Helvetica"/>
      <w:b/>
      <w:sz w:val="36"/>
      <w:lang w:val="en-GB" w:eastAsia="en-GB" w:bidi="ar-SA"/>
    </w:rPr>
  </w:style>
  <w:style w:type="character" w:customStyle="1" w:styleId="Heading3Char">
    <w:name w:val="Heading 3 Char"/>
    <w:link w:val="Heading3"/>
    <w:rsid w:val="007E0733"/>
    <w:rPr>
      <w:rFonts w:ascii="Helvetica" w:eastAsia="Times" w:hAnsi="Helvetica"/>
      <w:b/>
      <w:sz w:val="32"/>
      <w:lang w:val="en-GB" w:eastAsia="en-GB" w:bidi="ar-SA"/>
    </w:rPr>
  </w:style>
  <w:style w:type="character" w:customStyle="1" w:styleId="SubHeadingsChar">
    <w:name w:val="Sub Headings Char"/>
    <w:basedOn w:val="Heading3Char"/>
    <w:link w:val="SubHeadings"/>
    <w:rsid w:val="00CF3F95"/>
    <w:rPr>
      <w:rFonts w:ascii="Helvetica" w:eastAsia="Times" w:hAnsi="Helvetica"/>
      <w:b/>
      <w:sz w:val="32"/>
      <w:lang w:val="en-GB" w:eastAsia="en-GB" w:bidi="ar-SA"/>
    </w:rPr>
  </w:style>
  <w:style w:type="paragraph" w:customStyle="1" w:styleId="BulletList">
    <w:name w:val="Bullet List"/>
    <w:basedOn w:val="Normal"/>
    <w:autoRedefine/>
    <w:rsid w:val="00147245"/>
    <w:pPr>
      <w:spacing w:before="0" w:after="0"/>
    </w:pPr>
    <w:rPr>
      <w:rFonts w:ascii="Arial" w:hAnsi="Arial" w:cs="Arial"/>
      <w:noProof/>
    </w:rPr>
  </w:style>
  <w:style w:type="paragraph" w:customStyle="1" w:styleId="AgendaItemNo">
    <w:name w:val="Agenda Item No"/>
    <w:basedOn w:val="Header"/>
    <w:link w:val="AgendaItemNoChar"/>
    <w:rsid w:val="005C2F71"/>
    <w:pPr>
      <w:tabs>
        <w:tab w:val="clear" w:pos="4153"/>
        <w:tab w:val="clear" w:pos="8306"/>
      </w:tabs>
      <w:spacing w:before="240" w:after="120"/>
    </w:pPr>
    <w:rPr>
      <w:color w:val="000000"/>
    </w:rPr>
  </w:style>
  <w:style w:type="character" w:customStyle="1" w:styleId="overviewtextChar">
    <w:name w:val="overview text Char"/>
    <w:link w:val="overviewtext"/>
    <w:rsid w:val="005C2F71"/>
    <w:rPr>
      <w:rFonts w:ascii="Helvetica" w:eastAsia="Times" w:hAnsi="Helvetica"/>
      <w:sz w:val="24"/>
      <w:lang w:val="en-GB" w:eastAsia="en-GB" w:bidi="ar-SA"/>
    </w:rPr>
  </w:style>
  <w:style w:type="character" w:customStyle="1" w:styleId="HeaderChar">
    <w:name w:val="Header Char"/>
    <w:basedOn w:val="overviewtextChar"/>
    <w:link w:val="Header"/>
    <w:rsid w:val="005C2F71"/>
    <w:rPr>
      <w:rFonts w:ascii="Helvetica" w:eastAsia="Times" w:hAnsi="Helvetica"/>
      <w:sz w:val="24"/>
      <w:lang w:val="en-GB" w:eastAsia="en-GB" w:bidi="ar-SA"/>
    </w:rPr>
  </w:style>
  <w:style w:type="character" w:customStyle="1" w:styleId="AgendaItemNoChar">
    <w:name w:val="Agenda Item No Char"/>
    <w:link w:val="AgendaItemNo"/>
    <w:rsid w:val="005C2F71"/>
    <w:rPr>
      <w:rFonts w:ascii="Helvetica" w:eastAsia="Times" w:hAnsi="Helvetica"/>
      <w:color w:val="000000"/>
      <w:sz w:val="24"/>
      <w:lang w:val="en-GB" w:eastAsia="en-GB" w:bidi="ar-SA"/>
    </w:rPr>
  </w:style>
  <w:style w:type="paragraph" w:styleId="Date">
    <w:name w:val="Date"/>
    <w:basedOn w:val="Normal"/>
    <w:next w:val="Normal"/>
    <w:link w:val="DateChar"/>
    <w:semiHidden/>
    <w:locked/>
    <w:rsid w:val="00DB03A8"/>
  </w:style>
  <w:style w:type="paragraph" w:customStyle="1" w:styleId="Date2">
    <w:name w:val="Date2"/>
    <w:basedOn w:val="Date"/>
    <w:link w:val="Date2Char"/>
    <w:autoRedefine/>
    <w:rsid w:val="00DB03A8"/>
    <w:rPr>
      <w:b/>
    </w:rPr>
  </w:style>
  <w:style w:type="character" w:customStyle="1" w:styleId="DateChar">
    <w:name w:val="Date Char"/>
    <w:link w:val="Date"/>
    <w:rsid w:val="00DB03A8"/>
    <w:rPr>
      <w:rFonts w:ascii="Helvetica" w:eastAsia="Times" w:hAnsi="Helvetica"/>
      <w:sz w:val="24"/>
      <w:lang w:val="en-GB" w:eastAsia="en-GB" w:bidi="ar-SA"/>
    </w:rPr>
  </w:style>
  <w:style w:type="character" w:customStyle="1" w:styleId="Date2Char">
    <w:name w:val="Date2 Char"/>
    <w:link w:val="Date2"/>
    <w:rsid w:val="00DB03A8"/>
    <w:rPr>
      <w:rFonts w:ascii="Helvetica" w:eastAsia="Times" w:hAnsi="Helvetica"/>
      <w:b/>
      <w:sz w:val="24"/>
      <w:lang w:val="en-GB" w:eastAsia="en-GB" w:bidi="ar-SA"/>
    </w:rPr>
  </w:style>
  <w:style w:type="character" w:customStyle="1" w:styleId="Para2Char">
    <w:name w:val="Para2 Char"/>
    <w:link w:val="Para2"/>
    <w:rsid w:val="00DF2B60"/>
    <w:rPr>
      <w:rFonts w:ascii="Helvetica" w:hAnsi="Helvetica"/>
      <w:sz w:val="24"/>
    </w:rPr>
  </w:style>
  <w:style w:type="character" w:styleId="Hyperlink">
    <w:name w:val="Hyperlink"/>
    <w:locked/>
    <w:rsid w:val="00B36B6F"/>
    <w:rPr>
      <w:color w:val="0000FF"/>
      <w:u w:val="single"/>
    </w:rPr>
  </w:style>
  <w:style w:type="paragraph" w:customStyle="1" w:styleId="StyleNumberedList2Left254cmFirstline0cm">
    <w:name w:val="Style Numbered List2 + Left:  2.54 cm First line:  0 cm"/>
    <w:basedOn w:val="Normal"/>
    <w:rsid w:val="00CA4246"/>
    <w:pPr>
      <w:numPr>
        <w:ilvl w:val="2"/>
        <w:numId w:val="4"/>
      </w:numPr>
    </w:pPr>
  </w:style>
  <w:style w:type="paragraph" w:customStyle="1" w:styleId="NumberedList4">
    <w:name w:val="Numbered List4"/>
    <w:basedOn w:val="Normal"/>
    <w:rsid w:val="00732C4D"/>
    <w:pPr>
      <w:numPr>
        <w:numId w:val="7"/>
      </w:numPr>
      <w:tabs>
        <w:tab w:val="clear" w:pos="1778"/>
        <w:tab w:val="num" w:pos="851"/>
      </w:tabs>
      <w:ind w:left="1134" w:hanging="708"/>
    </w:pPr>
  </w:style>
  <w:style w:type="paragraph" w:customStyle="1" w:styleId="NumberedList3">
    <w:name w:val="Numbered List3"/>
    <w:basedOn w:val="Normal"/>
    <w:autoRedefine/>
    <w:rsid w:val="00B57FFC"/>
    <w:pPr>
      <w:ind w:left="1080"/>
    </w:pPr>
  </w:style>
  <w:style w:type="numbering" w:customStyle="1" w:styleId="StyleOutlinenumberedLeft254cmHanging093cm">
    <w:name w:val="Style Outline numbered Left:  2.54 cm Hanging:  0.93 cm"/>
    <w:basedOn w:val="NoList"/>
    <w:rsid w:val="0010432A"/>
    <w:pPr>
      <w:numPr>
        <w:numId w:val="3"/>
      </w:numPr>
    </w:pPr>
  </w:style>
  <w:style w:type="numbering" w:styleId="111111">
    <w:name w:val="Outline List 2"/>
    <w:basedOn w:val="NoList"/>
    <w:locked/>
    <w:rsid w:val="00CA4246"/>
    <w:pPr>
      <w:numPr>
        <w:numId w:val="5"/>
      </w:numPr>
    </w:pPr>
  </w:style>
  <w:style w:type="paragraph" w:customStyle="1" w:styleId="summarydetail">
    <w:name w:val="summary detail"/>
    <w:basedOn w:val="overviewtext"/>
    <w:qFormat/>
    <w:rsid w:val="00EC59DC"/>
    <w:pPr>
      <w:ind w:left="3402"/>
    </w:pPr>
  </w:style>
  <w:style w:type="paragraph" w:styleId="ListBullet">
    <w:name w:val="List Bullet"/>
    <w:basedOn w:val="Normal"/>
    <w:locked/>
    <w:rsid w:val="00182C72"/>
    <w:pPr>
      <w:numPr>
        <w:numId w:val="9"/>
      </w:numPr>
    </w:pPr>
  </w:style>
  <w:style w:type="paragraph" w:customStyle="1" w:styleId="summarydetails0">
    <w:name w:val="summarydetails"/>
    <w:basedOn w:val="Normal"/>
    <w:rsid w:val="002701E6"/>
    <w:pPr>
      <w:spacing w:before="100" w:beforeAutospacing="1" w:after="100" w:afterAutospacing="1"/>
    </w:pPr>
    <w:rPr>
      <w:rFonts w:ascii="Times New Roman" w:eastAsia="Times New Roman" w:hAnsi="Times New Roman"/>
      <w:szCs w:val="24"/>
    </w:rPr>
  </w:style>
  <w:style w:type="paragraph" w:styleId="FootnoteText">
    <w:name w:val="footnote text"/>
    <w:basedOn w:val="Normal"/>
    <w:semiHidden/>
    <w:locked/>
    <w:rsid w:val="002701E6"/>
    <w:pPr>
      <w:spacing w:before="0" w:after="0"/>
    </w:pPr>
    <w:rPr>
      <w:rFonts w:ascii="Times New Roman" w:eastAsia="Times New Roman" w:hAnsi="Times New Roman"/>
      <w:sz w:val="20"/>
    </w:rPr>
  </w:style>
  <w:style w:type="character" w:styleId="FootnoteReference">
    <w:name w:val="footnote reference"/>
    <w:semiHidden/>
    <w:locked/>
    <w:rsid w:val="002701E6"/>
    <w:rPr>
      <w:vertAlign w:val="superscript"/>
    </w:rPr>
  </w:style>
  <w:style w:type="paragraph" w:customStyle="1" w:styleId="ParaX11">
    <w:name w:val="Para X.1.1"/>
    <w:basedOn w:val="Normal"/>
    <w:rsid w:val="00D36251"/>
    <w:pPr>
      <w:ind w:left="2160" w:hanging="720"/>
    </w:pPr>
    <w:rPr>
      <w:rFonts w:ascii="Arial" w:hAnsi="Arial"/>
    </w:rPr>
  </w:style>
  <w:style w:type="paragraph" w:customStyle="1" w:styleId="ParaX1">
    <w:name w:val="Para X.1"/>
    <w:basedOn w:val="Normal"/>
    <w:rsid w:val="00D36251"/>
    <w:pPr>
      <w:spacing w:before="0" w:after="0"/>
      <w:ind w:left="1440" w:hanging="731"/>
    </w:pPr>
    <w:rPr>
      <w:rFonts w:ascii="Arial" w:hAnsi="Arial"/>
    </w:rPr>
  </w:style>
  <w:style w:type="paragraph" w:customStyle="1" w:styleId="AppendicesNumberedList">
    <w:name w:val="Appendices Numbered List"/>
    <w:basedOn w:val="Normal"/>
    <w:rsid w:val="00D36251"/>
    <w:pPr>
      <w:tabs>
        <w:tab w:val="left" w:pos="1440"/>
      </w:tabs>
      <w:spacing w:before="0" w:after="0"/>
      <w:ind w:left="1440" w:hanging="720"/>
    </w:pPr>
    <w:rPr>
      <w:rFonts w:ascii="Arial" w:hAnsi="Arial"/>
    </w:rPr>
  </w:style>
  <w:style w:type="paragraph" w:customStyle="1" w:styleId="SecondIndent">
    <w:name w:val="Second Indent"/>
    <w:basedOn w:val="Normal"/>
    <w:rsid w:val="00D36251"/>
    <w:pPr>
      <w:tabs>
        <w:tab w:val="left" w:pos="1440"/>
        <w:tab w:val="left" w:pos="2160"/>
      </w:tabs>
      <w:spacing w:before="0" w:after="0"/>
      <w:ind w:left="2160" w:hanging="720"/>
    </w:pPr>
    <w:rPr>
      <w:rFonts w:ascii="Arial" w:hAnsi="Arial"/>
    </w:rPr>
  </w:style>
  <w:style w:type="paragraph" w:customStyle="1" w:styleId="BulletListX1">
    <w:name w:val="Bullet List X.1"/>
    <w:basedOn w:val="ParaX1"/>
    <w:rsid w:val="00D36251"/>
    <w:pPr>
      <w:numPr>
        <w:numId w:val="10"/>
      </w:numPr>
      <w:ind w:hanging="720"/>
    </w:pPr>
  </w:style>
  <w:style w:type="character" w:customStyle="1" w:styleId="Bold">
    <w:name w:val="Bold"/>
    <w:rsid w:val="00D36251"/>
    <w:rPr>
      <w:b/>
    </w:rPr>
  </w:style>
  <w:style w:type="paragraph" w:styleId="ListParagraph">
    <w:name w:val="List Paragraph"/>
    <w:basedOn w:val="Normal"/>
    <w:uiPriority w:val="34"/>
    <w:qFormat/>
    <w:rsid w:val="005407A0"/>
    <w:pPr>
      <w:spacing w:before="0" w:after="0"/>
      <w:ind w:left="720"/>
    </w:pPr>
    <w:rPr>
      <w:rFonts w:ascii="Calibri" w:eastAsia="Calibri" w:hAnsi="Calibri"/>
      <w:sz w:val="22"/>
      <w:szCs w:val="22"/>
      <w:lang w:eastAsia="en-US"/>
    </w:rPr>
  </w:style>
  <w:style w:type="character" w:styleId="CommentReference">
    <w:name w:val="annotation reference"/>
    <w:locked/>
    <w:rsid w:val="009C7A79"/>
    <w:rPr>
      <w:sz w:val="16"/>
      <w:szCs w:val="16"/>
    </w:rPr>
  </w:style>
  <w:style w:type="paragraph" w:styleId="CommentText">
    <w:name w:val="annotation text"/>
    <w:basedOn w:val="Normal"/>
    <w:link w:val="CommentTextChar"/>
    <w:locked/>
    <w:rsid w:val="009C7A79"/>
    <w:rPr>
      <w:sz w:val="20"/>
    </w:rPr>
  </w:style>
  <w:style w:type="character" w:customStyle="1" w:styleId="CommentTextChar">
    <w:name w:val="Comment Text Char"/>
    <w:link w:val="CommentText"/>
    <w:rsid w:val="009C7A79"/>
    <w:rPr>
      <w:rFonts w:ascii="Helvetica" w:hAnsi="Helvetica"/>
    </w:rPr>
  </w:style>
  <w:style w:type="paragraph" w:styleId="CommentSubject">
    <w:name w:val="annotation subject"/>
    <w:basedOn w:val="CommentText"/>
    <w:next w:val="CommentText"/>
    <w:link w:val="CommentSubjectChar"/>
    <w:locked/>
    <w:rsid w:val="009C7A79"/>
    <w:rPr>
      <w:b/>
      <w:bCs/>
    </w:rPr>
  </w:style>
  <w:style w:type="character" w:customStyle="1" w:styleId="CommentSubjectChar">
    <w:name w:val="Comment Subject Char"/>
    <w:link w:val="CommentSubject"/>
    <w:rsid w:val="009C7A79"/>
    <w:rPr>
      <w:rFonts w:ascii="Helvetica" w:hAnsi="Helvetica"/>
      <w:b/>
      <w:bCs/>
    </w:rPr>
  </w:style>
  <w:style w:type="character" w:styleId="UnresolvedMention">
    <w:name w:val="Unresolved Mention"/>
    <w:uiPriority w:val="99"/>
    <w:semiHidden/>
    <w:unhideWhenUsed/>
    <w:rsid w:val="001A4112"/>
    <w:rPr>
      <w:color w:val="605E5C"/>
      <w:shd w:val="clear" w:color="auto" w:fill="E1DFDD"/>
    </w:rPr>
  </w:style>
  <w:style w:type="character" w:styleId="FollowedHyperlink">
    <w:name w:val="FollowedHyperlink"/>
    <w:locked/>
    <w:rsid w:val="003714B2"/>
    <w:rPr>
      <w:color w:val="954F72"/>
      <w:u w:val="single"/>
    </w:rPr>
  </w:style>
  <w:style w:type="paragraph" w:styleId="Footer">
    <w:name w:val="footer"/>
    <w:basedOn w:val="Normal"/>
    <w:link w:val="FooterChar"/>
    <w:uiPriority w:val="99"/>
    <w:locked/>
    <w:rsid w:val="00970962"/>
    <w:pPr>
      <w:tabs>
        <w:tab w:val="center" w:pos="4513"/>
        <w:tab w:val="right" w:pos="9026"/>
      </w:tabs>
    </w:pPr>
  </w:style>
  <w:style w:type="character" w:customStyle="1" w:styleId="FooterChar">
    <w:name w:val="Footer Char"/>
    <w:link w:val="Footer"/>
    <w:uiPriority w:val="99"/>
    <w:rsid w:val="00970962"/>
    <w:rPr>
      <w:rFonts w:ascii="Helvetica" w:hAnsi="Helvetica"/>
      <w:sz w:val="24"/>
    </w:rPr>
  </w:style>
  <w:style w:type="paragraph" w:customStyle="1" w:styleId="Default">
    <w:name w:val="Default"/>
    <w:rsid w:val="00905E03"/>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locked/>
    <w:rsid w:val="00BC63CA"/>
    <w:pPr>
      <w:spacing w:before="100" w:beforeAutospacing="1" w:after="100" w:afterAutospacing="1"/>
    </w:pPr>
    <w:rPr>
      <w:rFonts w:ascii="Times New Roman" w:eastAsia="Times New Roman" w:hAnsi="Times New Roman"/>
      <w:szCs w:val="24"/>
    </w:rPr>
  </w:style>
  <w:style w:type="paragraph" w:styleId="Revision">
    <w:name w:val="Revision"/>
    <w:hidden/>
    <w:uiPriority w:val="99"/>
    <w:semiHidden/>
    <w:rsid w:val="00FB55E8"/>
    <w:rPr>
      <w:rFonts w:ascii="Helvetica" w:hAnsi="Helvetica"/>
      <w:sz w:val="24"/>
    </w:rPr>
  </w:style>
  <w:style w:type="character" w:styleId="Mention">
    <w:name w:val="Mention"/>
    <w:basedOn w:val="DefaultParagraphFont"/>
    <w:uiPriority w:val="99"/>
    <w:unhideWhenUsed/>
    <w:rsid w:val="00824603"/>
    <w:rPr>
      <w:color w:val="2B579A"/>
      <w:shd w:val="clear" w:color="auto" w:fill="E6E6E6"/>
    </w:rPr>
  </w:style>
  <w:style w:type="table" w:customStyle="1" w:styleId="TableGrid1">
    <w:name w:val="Table Grid1"/>
    <w:basedOn w:val="TableNormal"/>
    <w:next w:val="TableGrid"/>
    <w:uiPriority w:val="39"/>
    <w:rsid w:val="00E737E6"/>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307388">
      <w:bodyDiv w:val="1"/>
      <w:marLeft w:val="0"/>
      <w:marRight w:val="0"/>
      <w:marTop w:val="0"/>
      <w:marBottom w:val="0"/>
      <w:divBdr>
        <w:top w:val="none" w:sz="0" w:space="0" w:color="auto"/>
        <w:left w:val="none" w:sz="0" w:space="0" w:color="auto"/>
        <w:bottom w:val="none" w:sz="0" w:space="0" w:color="auto"/>
        <w:right w:val="none" w:sz="0" w:space="0" w:color="auto"/>
      </w:divBdr>
    </w:div>
    <w:div w:id="106240239">
      <w:bodyDiv w:val="1"/>
      <w:marLeft w:val="0"/>
      <w:marRight w:val="0"/>
      <w:marTop w:val="0"/>
      <w:marBottom w:val="0"/>
      <w:divBdr>
        <w:top w:val="none" w:sz="0" w:space="0" w:color="auto"/>
        <w:left w:val="none" w:sz="0" w:space="0" w:color="auto"/>
        <w:bottom w:val="none" w:sz="0" w:space="0" w:color="auto"/>
        <w:right w:val="none" w:sz="0" w:space="0" w:color="auto"/>
      </w:divBdr>
    </w:div>
    <w:div w:id="278998688">
      <w:bodyDiv w:val="1"/>
      <w:marLeft w:val="0"/>
      <w:marRight w:val="0"/>
      <w:marTop w:val="0"/>
      <w:marBottom w:val="0"/>
      <w:divBdr>
        <w:top w:val="none" w:sz="0" w:space="0" w:color="auto"/>
        <w:left w:val="none" w:sz="0" w:space="0" w:color="auto"/>
        <w:bottom w:val="none" w:sz="0" w:space="0" w:color="auto"/>
        <w:right w:val="none" w:sz="0" w:space="0" w:color="auto"/>
      </w:divBdr>
    </w:div>
    <w:div w:id="295332163">
      <w:bodyDiv w:val="1"/>
      <w:marLeft w:val="0"/>
      <w:marRight w:val="0"/>
      <w:marTop w:val="0"/>
      <w:marBottom w:val="0"/>
      <w:divBdr>
        <w:top w:val="none" w:sz="0" w:space="0" w:color="auto"/>
        <w:left w:val="none" w:sz="0" w:space="0" w:color="auto"/>
        <w:bottom w:val="none" w:sz="0" w:space="0" w:color="auto"/>
        <w:right w:val="none" w:sz="0" w:space="0" w:color="auto"/>
      </w:divBdr>
    </w:div>
    <w:div w:id="314915055">
      <w:bodyDiv w:val="1"/>
      <w:marLeft w:val="0"/>
      <w:marRight w:val="0"/>
      <w:marTop w:val="0"/>
      <w:marBottom w:val="0"/>
      <w:divBdr>
        <w:top w:val="none" w:sz="0" w:space="0" w:color="auto"/>
        <w:left w:val="none" w:sz="0" w:space="0" w:color="auto"/>
        <w:bottom w:val="none" w:sz="0" w:space="0" w:color="auto"/>
        <w:right w:val="none" w:sz="0" w:space="0" w:color="auto"/>
      </w:divBdr>
    </w:div>
    <w:div w:id="353385424">
      <w:bodyDiv w:val="1"/>
      <w:marLeft w:val="0"/>
      <w:marRight w:val="0"/>
      <w:marTop w:val="0"/>
      <w:marBottom w:val="0"/>
      <w:divBdr>
        <w:top w:val="none" w:sz="0" w:space="0" w:color="auto"/>
        <w:left w:val="none" w:sz="0" w:space="0" w:color="auto"/>
        <w:bottom w:val="none" w:sz="0" w:space="0" w:color="auto"/>
        <w:right w:val="none" w:sz="0" w:space="0" w:color="auto"/>
      </w:divBdr>
    </w:div>
    <w:div w:id="601691805">
      <w:bodyDiv w:val="1"/>
      <w:marLeft w:val="0"/>
      <w:marRight w:val="0"/>
      <w:marTop w:val="0"/>
      <w:marBottom w:val="0"/>
      <w:divBdr>
        <w:top w:val="none" w:sz="0" w:space="0" w:color="auto"/>
        <w:left w:val="none" w:sz="0" w:space="0" w:color="auto"/>
        <w:bottom w:val="none" w:sz="0" w:space="0" w:color="auto"/>
        <w:right w:val="none" w:sz="0" w:space="0" w:color="auto"/>
      </w:divBdr>
    </w:div>
    <w:div w:id="662591831">
      <w:bodyDiv w:val="1"/>
      <w:marLeft w:val="0"/>
      <w:marRight w:val="0"/>
      <w:marTop w:val="0"/>
      <w:marBottom w:val="0"/>
      <w:divBdr>
        <w:top w:val="none" w:sz="0" w:space="0" w:color="auto"/>
        <w:left w:val="none" w:sz="0" w:space="0" w:color="auto"/>
        <w:bottom w:val="none" w:sz="0" w:space="0" w:color="auto"/>
        <w:right w:val="none" w:sz="0" w:space="0" w:color="auto"/>
      </w:divBdr>
    </w:div>
    <w:div w:id="877349991">
      <w:bodyDiv w:val="1"/>
      <w:marLeft w:val="0"/>
      <w:marRight w:val="0"/>
      <w:marTop w:val="0"/>
      <w:marBottom w:val="0"/>
      <w:divBdr>
        <w:top w:val="none" w:sz="0" w:space="0" w:color="auto"/>
        <w:left w:val="none" w:sz="0" w:space="0" w:color="auto"/>
        <w:bottom w:val="none" w:sz="0" w:space="0" w:color="auto"/>
        <w:right w:val="none" w:sz="0" w:space="0" w:color="auto"/>
      </w:divBdr>
    </w:div>
    <w:div w:id="965162341">
      <w:bodyDiv w:val="1"/>
      <w:marLeft w:val="0"/>
      <w:marRight w:val="0"/>
      <w:marTop w:val="0"/>
      <w:marBottom w:val="0"/>
      <w:divBdr>
        <w:top w:val="none" w:sz="0" w:space="0" w:color="auto"/>
        <w:left w:val="none" w:sz="0" w:space="0" w:color="auto"/>
        <w:bottom w:val="none" w:sz="0" w:space="0" w:color="auto"/>
        <w:right w:val="none" w:sz="0" w:space="0" w:color="auto"/>
      </w:divBdr>
    </w:div>
    <w:div w:id="1176456899">
      <w:bodyDiv w:val="1"/>
      <w:marLeft w:val="0"/>
      <w:marRight w:val="0"/>
      <w:marTop w:val="0"/>
      <w:marBottom w:val="0"/>
      <w:divBdr>
        <w:top w:val="none" w:sz="0" w:space="0" w:color="auto"/>
        <w:left w:val="none" w:sz="0" w:space="0" w:color="auto"/>
        <w:bottom w:val="none" w:sz="0" w:space="0" w:color="auto"/>
        <w:right w:val="none" w:sz="0" w:space="0" w:color="auto"/>
      </w:divBdr>
    </w:div>
    <w:div w:id="1254506596">
      <w:bodyDiv w:val="1"/>
      <w:marLeft w:val="59"/>
      <w:marRight w:val="59"/>
      <w:marTop w:val="59"/>
      <w:marBottom w:val="15"/>
      <w:divBdr>
        <w:top w:val="none" w:sz="0" w:space="0" w:color="auto"/>
        <w:left w:val="none" w:sz="0" w:space="0" w:color="auto"/>
        <w:bottom w:val="none" w:sz="0" w:space="0" w:color="auto"/>
        <w:right w:val="none" w:sz="0" w:space="0" w:color="auto"/>
      </w:divBdr>
      <w:divsChild>
        <w:div w:id="1856337360">
          <w:marLeft w:val="0"/>
          <w:marRight w:val="0"/>
          <w:marTop w:val="0"/>
          <w:marBottom w:val="0"/>
          <w:divBdr>
            <w:top w:val="none" w:sz="0" w:space="0" w:color="auto"/>
            <w:left w:val="none" w:sz="0" w:space="0" w:color="auto"/>
            <w:bottom w:val="none" w:sz="0" w:space="0" w:color="auto"/>
            <w:right w:val="none" w:sz="0" w:space="0" w:color="auto"/>
          </w:divBdr>
        </w:div>
      </w:divsChild>
    </w:div>
    <w:div w:id="1262033103">
      <w:bodyDiv w:val="1"/>
      <w:marLeft w:val="0"/>
      <w:marRight w:val="0"/>
      <w:marTop w:val="0"/>
      <w:marBottom w:val="0"/>
      <w:divBdr>
        <w:top w:val="none" w:sz="0" w:space="0" w:color="auto"/>
        <w:left w:val="none" w:sz="0" w:space="0" w:color="auto"/>
        <w:bottom w:val="none" w:sz="0" w:space="0" w:color="auto"/>
        <w:right w:val="none" w:sz="0" w:space="0" w:color="auto"/>
      </w:divBdr>
    </w:div>
    <w:div w:id="1431780993">
      <w:bodyDiv w:val="1"/>
      <w:marLeft w:val="0"/>
      <w:marRight w:val="0"/>
      <w:marTop w:val="0"/>
      <w:marBottom w:val="0"/>
      <w:divBdr>
        <w:top w:val="none" w:sz="0" w:space="0" w:color="auto"/>
        <w:left w:val="none" w:sz="0" w:space="0" w:color="auto"/>
        <w:bottom w:val="none" w:sz="0" w:space="0" w:color="auto"/>
        <w:right w:val="none" w:sz="0" w:space="0" w:color="auto"/>
      </w:divBdr>
      <w:divsChild>
        <w:div w:id="98137599">
          <w:marLeft w:val="360"/>
          <w:marRight w:val="0"/>
          <w:marTop w:val="200"/>
          <w:marBottom w:val="0"/>
          <w:divBdr>
            <w:top w:val="none" w:sz="0" w:space="0" w:color="auto"/>
            <w:left w:val="none" w:sz="0" w:space="0" w:color="auto"/>
            <w:bottom w:val="none" w:sz="0" w:space="0" w:color="auto"/>
            <w:right w:val="none" w:sz="0" w:space="0" w:color="auto"/>
          </w:divBdr>
        </w:div>
        <w:div w:id="137456957">
          <w:marLeft w:val="360"/>
          <w:marRight w:val="0"/>
          <w:marTop w:val="200"/>
          <w:marBottom w:val="0"/>
          <w:divBdr>
            <w:top w:val="none" w:sz="0" w:space="0" w:color="auto"/>
            <w:left w:val="none" w:sz="0" w:space="0" w:color="auto"/>
            <w:bottom w:val="none" w:sz="0" w:space="0" w:color="auto"/>
            <w:right w:val="none" w:sz="0" w:space="0" w:color="auto"/>
          </w:divBdr>
        </w:div>
        <w:div w:id="292251558">
          <w:marLeft w:val="360"/>
          <w:marRight w:val="0"/>
          <w:marTop w:val="200"/>
          <w:marBottom w:val="0"/>
          <w:divBdr>
            <w:top w:val="none" w:sz="0" w:space="0" w:color="auto"/>
            <w:left w:val="none" w:sz="0" w:space="0" w:color="auto"/>
            <w:bottom w:val="none" w:sz="0" w:space="0" w:color="auto"/>
            <w:right w:val="none" w:sz="0" w:space="0" w:color="auto"/>
          </w:divBdr>
        </w:div>
        <w:div w:id="851066699">
          <w:marLeft w:val="360"/>
          <w:marRight w:val="0"/>
          <w:marTop w:val="200"/>
          <w:marBottom w:val="0"/>
          <w:divBdr>
            <w:top w:val="none" w:sz="0" w:space="0" w:color="auto"/>
            <w:left w:val="none" w:sz="0" w:space="0" w:color="auto"/>
            <w:bottom w:val="none" w:sz="0" w:space="0" w:color="auto"/>
            <w:right w:val="none" w:sz="0" w:space="0" w:color="auto"/>
          </w:divBdr>
        </w:div>
        <w:div w:id="856502907">
          <w:marLeft w:val="360"/>
          <w:marRight w:val="0"/>
          <w:marTop w:val="200"/>
          <w:marBottom w:val="0"/>
          <w:divBdr>
            <w:top w:val="none" w:sz="0" w:space="0" w:color="auto"/>
            <w:left w:val="none" w:sz="0" w:space="0" w:color="auto"/>
            <w:bottom w:val="none" w:sz="0" w:space="0" w:color="auto"/>
            <w:right w:val="none" w:sz="0" w:space="0" w:color="auto"/>
          </w:divBdr>
        </w:div>
        <w:div w:id="1414012107">
          <w:marLeft w:val="360"/>
          <w:marRight w:val="0"/>
          <w:marTop w:val="200"/>
          <w:marBottom w:val="0"/>
          <w:divBdr>
            <w:top w:val="none" w:sz="0" w:space="0" w:color="auto"/>
            <w:left w:val="none" w:sz="0" w:space="0" w:color="auto"/>
            <w:bottom w:val="none" w:sz="0" w:space="0" w:color="auto"/>
            <w:right w:val="none" w:sz="0" w:space="0" w:color="auto"/>
          </w:divBdr>
        </w:div>
        <w:div w:id="1974210726">
          <w:marLeft w:val="360"/>
          <w:marRight w:val="0"/>
          <w:marTop w:val="200"/>
          <w:marBottom w:val="0"/>
          <w:divBdr>
            <w:top w:val="none" w:sz="0" w:space="0" w:color="auto"/>
            <w:left w:val="none" w:sz="0" w:space="0" w:color="auto"/>
            <w:bottom w:val="none" w:sz="0" w:space="0" w:color="auto"/>
            <w:right w:val="none" w:sz="0" w:space="0" w:color="auto"/>
          </w:divBdr>
        </w:div>
      </w:divsChild>
    </w:div>
    <w:div w:id="1843663059">
      <w:bodyDiv w:val="1"/>
      <w:marLeft w:val="0"/>
      <w:marRight w:val="0"/>
      <w:marTop w:val="0"/>
      <w:marBottom w:val="0"/>
      <w:divBdr>
        <w:top w:val="none" w:sz="0" w:space="0" w:color="auto"/>
        <w:left w:val="none" w:sz="0" w:space="0" w:color="auto"/>
        <w:bottom w:val="none" w:sz="0" w:space="0" w:color="auto"/>
        <w:right w:val="none" w:sz="0" w:space="0" w:color="auto"/>
      </w:divBdr>
    </w:div>
    <w:div w:id="1922058765">
      <w:bodyDiv w:val="1"/>
      <w:marLeft w:val="59"/>
      <w:marRight w:val="59"/>
      <w:marTop w:val="59"/>
      <w:marBottom w:val="15"/>
      <w:divBdr>
        <w:top w:val="none" w:sz="0" w:space="0" w:color="auto"/>
        <w:left w:val="none" w:sz="0" w:space="0" w:color="auto"/>
        <w:bottom w:val="none" w:sz="0" w:space="0" w:color="auto"/>
        <w:right w:val="none" w:sz="0" w:space="0" w:color="auto"/>
      </w:divBdr>
      <w:divsChild>
        <w:div w:id="680201730">
          <w:marLeft w:val="0"/>
          <w:marRight w:val="0"/>
          <w:marTop w:val="0"/>
          <w:marBottom w:val="0"/>
          <w:divBdr>
            <w:top w:val="none" w:sz="0" w:space="0" w:color="auto"/>
            <w:left w:val="none" w:sz="0" w:space="0" w:color="auto"/>
            <w:bottom w:val="none" w:sz="0" w:space="0" w:color="auto"/>
            <w:right w:val="none" w:sz="0" w:space="0" w:color="auto"/>
          </w:divBdr>
        </w:div>
      </w:divsChild>
    </w:div>
    <w:div w:id="1933005305">
      <w:bodyDiv w:val="1"/>
      <w:marLeft w:val="0"/>
      <w:marRight w:val="0"/>
      <w:marTop w:val="0"/>
      <w:marBottom w:val="0"/>
      <w:divBdr>
        <w:top w:val="none" w:sz="0" w:space="0" w:color="auto"/>
        <w:left w:val="none" w:sz="0" w:space="0" w:color="auto"/>
        <w:bottom w:val="none" w:sz="0" w:space="0" w:color="auto"/>
        <w:right w:val="none" w:sz="0" w:space="0" w:color="auto"/>
      </w:divBdr>
    </w:div>
    <w:div w:id="2066680137">
      <w:bodyDiv w:val="1"/>
      <w:marLeft w:val="0"/>
      <w:marRight w:val="0"/>
      <w:marTop w:val="0"/>
      <w:marBottom w:val="0"/>
      <w:divBdr>
        <w:top w:val="none" w:sz="0" w:space="0" w:color="auto"/>
        <w:left w:val="none" w:sz="0" w:space="0" w:color="auto"/>
        <w:bottom w:val="none" w:sz="0" w:space="0" w:color="auto"/>
        <w:right w:val="none" w:sz="0" w:space="0" w:color="auto"/>
      </w:divBdr>
    </w:div>
    <w:div w:id="21387953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ommittee Report" ma:contentTypeID="0x0101006E20E43CC1A6A04280788C18A091C92B004729FAC112782F44A012D159169B2923" ma:contentTypeVersion="12" ma:contentTypeDescription="Create a new document." ma:contentTypeScope="" ma:versionID="f914db805717bd63f2111bc4b08b17b3">
  <xsd:schema xmlns:xsd="http://www.w3.org/2001/XMLSchema" xmlns:xs="http://www.w3.org/2001/XMLSchema" xmlns:p="http://schemas.microsoft.com/office/2006/metadata/properties" xmlns:ns2="15931dfb-a494-4ec5-be36-6547ccad86dc" xmlns:ns3="bcdd9be9-816c-49fa-8418-28718bb08ba9" targetNamespace="http://schemas.microsoft.com/office/2006/metadata/properties" ma:root="true" ma:fieldsID="902591dcacca8237e87e1092156a4f90" ns2:_="" ns3:_="">
    <xsd:import namespace="15931dfb-a494-4ec5-be36-6547ccad86dc"/>
    <xsd:import namespace="bcdd9be9-816c-49fa-8418-28718bb08ba9"/>
    <xsd:element name="properties">
      <xsd:complexType>
        <xsd:sequence>
          <xsd:element name="documentManagement">
            <xsd:complexType>
              <xsd:all>
                <xsd:element ref="ns2:cmSequence" minOccurs="0"/>
                <xsd:element ref="ns3:cmMeeting" minOccurs="0"/>
                <xsd:element ref="ns3:cmWPItem"/>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31dfb-a494-4ec5-be36-6547ccad86dc" elementFormDefault="qualified">
    <xsd:import namespace="http://schemas.microsoft.com/office/2006/documentManagement/types"/>
    <xsd:import namespace="http://schemas.microsoft.com/office/infopath/2007/PartnerControls"/>
    <xsd:element name="cmSequence" ma:index="8" nillable="true" ma:displayName="Sequence" ma:decimals="0" ma:internalName="cmSequence" ma:readOnly="false" ma:percentage="FALSE">
      <xsd:simpleType>
        <xsd:restriction base="dms:Number">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bcdd9be9-816c-49fa-8418-28718bb08ba9" elementFormDefault="qualified">
    <xsd:import namespace="http://schemas.microsoft.com/office/2006/documentManagement/types"/>
    <xsd:import namespace="http://schemas.microsoft.com/office/infopath/2007/PartnerControls"/>
    <xsd:element name="cmMeeting" ma:index="9" nillable="true" ma:displayName="Meeting" ma:hidden="true" ma:indexed="true" ma:list="37a7a7cd-19a2-4500-8556-e3537c76f62b" ma:internalName="cmMeeting" ma:readOnly="false" ma:showField="Title">
      <xsd:simpleType>
        <xsd:restriction base="dms:Lookup"/>
      </xsd:simpleType>
    </xsd:element>
    <xsd:element name="cmWPItem" ma:index="10" ma:displayName="WP Item" ma:hidden="true" ma:indexed="true" ma:list="d870f2e6-cfd5-4481-ac28-c77c218fdd03" ma:internalName="cmWPItem" ma:readOnly="false" ma:showField="Title">
      <xsd:simpleType>
        <xsd:restriction base="dms:Lookup"/>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mMeeting xmlns="bcdd9be9-816c-49fa-8418-28718bb08ba9">23</cmMeeting>
    <cmWPItem xmlns="bcdd9be9-816c-49fa-8418-28718bb08ba9">392</cmWPItem>
    <cmSequence xmlns="15931dfb-a494-4ec5-be36-6547ccad86dc">1</cmSeque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7C6AC-52B1-4545-ADB3-0648D7EC78C3}">
  <ds:schemaRefs>
    <ds:schemaRef ds:uri="http://schemas.microsoft.com/sharepoint/v3/contenttype/forms"/>
  </ds:schemaRefs>
</ds:datastoreItem>
</file>

<file path=customXml/itemProps2.xml><?xml version="1.0" encoding="utf-8"?>
<ds:datastoreItem xmlns:ds="http://schemas.openxmlformats.org/officeDocument/2006/customXml" ds:itemID="{881B33B9-1E48-4675-B8BD-5CC1F238C4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31dfb-a494-4ec5-be36-6547ccad86dc"/>
    <ds:schemaRef ds:uri="bcdd9be9-816c-49fa-8418-28718bb08b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C9E21B-C37F-47C1-A90A-1D86B34E203C}">
  <ds:schemaRefs>
    <ds:schemaRef ds:uri="http://schemas.microsoft.com/office/2006/metadata/properties"/>
    <ds:schemaRef ds:uri="http://schemas.microsoft.com/office/infopath/2007/PartnerControls"/>
    <ds:schemaRef ds:uri="bcdd9be9-816c-49fa-8418-28718bb08ba9"/>
    <ds:schemaRef ds:uri="15931dfb-a494-4ec5-be36-6547ccad86dc"/>
  </ds:schemaRefs>
</ds:datastoreItem>
</file>

<file path=customXml/itemProps4.xml><?xml version="1.0" encoding="utf-8"?>
<ds:datastoreItem xmlns:ds="http://schemas.openxmlformats.org/officeDocument/2006/customXml" ds:itemID="{0730AFAE-D6D2-40EF-AAA4-48B57465D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1316</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Committee Reporting Template</vt:lpstr>
    </vt:vector>
  </TitlesOfParts>
  <Company>Fife Council</Company>
  <LinksUpToDate>false</LinksUpToDate>
  <CharactersWithSpaces>8806</CharactersWithSpaces>
  <SharedDoc>false</SharedDoc>
  <HLinks>
    <vt:vector size="12" baseType="variant">
      <vt:variant>
        <vt:i4>5439608</vt:i4>
      </vt:variant>
      <vt:variant>
        <vt:i4>0</vt:i4>
      </vt:variant>
      <vt:variant>
        <vt:i4>0</vt:i4>
      </vt:variant>
      <vt:variant>
        <vt:i4>5</vt:i4>
      </vt:variant>
      <vt:variant>
        <vt:lpwstr>mailto:firstname.secondname@fife.gov.uk</vt:lpwstr>
      </vt:variant>
      <vt:variant>
        <vt:lpwstr/>
      </vt:variant>
      <vt:variant>
        <vt:i4>851984</vt:i4>
      </vt:variant>
      <vt:variant>
        <vt:i4>0</vt:i4>
      </vt:variant>
      <vt:variant>
        <vt:i4>0</vt:i4>
      </vt:variant>
      <vt:variant>
        <vt:i4>5</vt:i4>
      </vt:variant>
      <vt:variant>
        <vt:lpwstr>https://www.crisis.org.uk/ending-homelessness/homelessness-knowledge-hub/homelessness-monitor/scotland/the-homelessness-monitor-scotland-2024/</vt:lpwstr>
      </vt:variant>
      <vt:variant>
        <vt:lpwstr>:~:text=The%20most%20severe%20and%20immediate,to%20an%20estimated%2018%2C400%20households.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Reporting Template</dc:title>
  <dc:subject/>
  <dc:creator>Gregor Wilson</dc:creator>
  <cp:keywords/>
  <cp:lastModifiedBy>Calum Reid-CC</cp:lastModifiedBy>
  <cp:revision>3</cp:revision>
  <cp:lastPrinted>2020-09-01T00:44:00Z</cp:lastPrinted>
  <dcterms:created xsi:type="dcterms:W3CDTF">2024-08-23T15:41:00Z</dcterms:created>
  <dcterms:modified xsi:type="dcterms:W3CDTF">2024-08-26T14:32:00Z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0x0101006E20E43CC1A6A04280788C18A091C92B004729FAC112782F44A012D159169B2923</vt:lpwstr>
  </property>
  <property fmtid="{D5CDD505-2E9C-101B-9397-08002B2CF9AE}" pid="3" name="CommitteesSubject">
    <vt:lpwstr>1;#report writing|72c92f9c-b007-4b93-b422-8034bd9bb624</vt:lpwstr>
  </property>
</Properties>
</file>